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B844C" w14:textId="77777777" w:rsidR="00E80098" w:rsidRPr="00E0621F" w:rsidRDefault="00E80098" w:rsidP="003E102C">
      <w:pPr>
        <w:spacing w:after="0" w:line="360" w:lineRule="auto"/>
        <w:jc w:val="both"/>
        <w:rPr>
          <w:rFonts w:ascii="Palatino Linotype" w:hAnsi="Palatino Linotype" w:cs="Tahoma"/>
          <w:b/>
          <w:sz w:val="20"/>
          <w:szCs w:val="20"/>
        </w:rPr>
      </w:pPr>
    </w:p>
    <w:p w14:paraId="3ECF11C1" w14:textId="0D1DDAE2" w:rsidR="009E0861" w:rsidRPr="00E0621F" w:rsidRDefault="009E0861" w:rsidP="003E102C">
      <w:pPr>
        <w:spacing w:after="0" w:line="360" w:lineRule="auto"/>
        <w:jc w:val="both"/>
        <w:rPr>
          <w:rFonts w:ascii="Palatino Linotype" w:hAnsi="Palatino Linotype" w:cs="Tahoma"/>
          <w:b/>
          <w:sz w:val="20"/>
          <w:szCs w:val="20"/>
        </w:rPr>
      </w:pPr>
      <w:r w:rsidRPr="00E0621F">
        <w:rPr>
          <w:rFonts w:ascii="Palatino Linotype" w:hAnsi="Palatino Linotype" w:cs="Tahoma"/>
          <w:b/>
          <w:sz w:val="20"/>
          <w:szCs w:val="20"/>
        </w:rPr>
        <w:t xml:space="preserve">VOTO PARTICULAR QUE FORMULA EL COMISIONADO LUIS GUSTAVO PARRA NORIEGA, </w:t>
      </w:r>
      <w:r w:rsidR="008B1FF6" w:rsidRPr="00E0621F">
        <w:rPr>
          <w:rFonts w:ascii="Palatino Linotype" w:hAnsi="Palatino Linotype" w:cs="Tahoma"/>
          <w:b/>
          <w:sz w:val="20"/>
          <w:szCs w:val="20"/>
        </w:rPr>
        <w:t>A</w:t>
      </w:r>
      <w:r w:rsidRPr="00E0621F">
        <w:rPr>
          <w:rFonts w:ascii="Palatino Linotype" w:hAnsi="Palatino Linotype" w:cs="Tahoma"/>
          <w:b/>
          <w:sz w:val="20"/>
          <w:szCs w:val="20"/>
        </w:rPr>
        <w:t xml:space="preserve"> LA RESOLUCI</w:t>
      </w:r>
      <w:r w:rsidR="00E45431" w:rsidRPr="00E0621F">
        <w:rPr>
          <w:rFonts w:ascii="Palatino Linotype" w:hAnsi="Palatino Linotype" w:cs="Tahoma"/>
          <w:b/>
          <w:sz w:val="20"/>
          <w:szCs w:val="20"/>
        </w:rPr>
        <w:t>ÓN DEL RECURSO DE REVISIÓN 0</w:t>
      </w:r>
      <w:r w:rsidR="009D6B09" w:rsidRPr="00E0621F">
        <w:rPr>
          <w:rFonts w:ascii="Palatino Linotype" w:hAnsi="Palatino Linotype" w:cs="Tahoma"/>
          <w:b/>
          <w:sz w:val="20"/>
          <w:szCs w:val="20"/>
        </w:rPr>
        <w:t>4258</w:t>
      </w:r>
      <w:r w:rsidRPr="00E0621F">
        <w:rPr>
          <w:rFonts w:ascii="Palatino Linotype" w:hAnsi="Palatino Linotype" w:cs="Tahoma"/>
          <w:b/>
          <w:sz w:val="20"/>
          <w:szCs w:val="20"/>
        </w:rPr>
        <w:t xml:space="preserve">/INFOEM/IP/RR/2018, </w:t>
      </w:r>
      <w:r w:rsidR="00B027EB" w:rsidRPr="00E0621F">
        <w:rPr>
          <w:rFonts w:ascii="Palatino Linotype" w:hAnsi="Palatino Linotype" w:cs="Tahoma"/>
          <w:b/>
          <w:sz w:val="20"/>
          <w:szCs w:val="20"/>
        </w:rPr>
        <w:t>PROMOVIDO EN CONTRA DE</w:t>
      </w:r>
      <w:r w:rsidR="003E102C" w:rsidRPr="00E0621F">
        <w:rPr>
          <w:rFonts w:ascii="Palatino Linotype" w:hAnsi="Palatino Linotype" w:cs="Tahoma"/>
          <w:b/>
          <w:sz w:val="20"/>
          <w:szCs w:val="20"/>
        </w:rPr>
        <w:t xml:space="preserve"> </w:t>
      </w:r>
      <w:r w:rsidR="00B027EB" w:rsidRPr="00E0621F">
        <w:rPr>
          <w:rFonts w:ascii="Palatino Linotype" w:hAnsi="Palatino Linotype" w:cs="Tahoma"/>
          <w:b/>
          <w:sz w:val="20"/>
          <w:szCs w:val="20"/>
        </w:rPr>
        <w:t>L</w:t>
      </w:r>
      <w:r w:rsidR="003E102C" w:rsidRPr="00E0621F">
        <w:rPr>
          <w:rFonts w:ascii="Palatino Linotype" w:hAnsi="Palatino Linotype" w:cs="Tahoma"/>
          <w:b/>
          <w:sz w:val="20"/>
          <w:szCs w:val="20"/>
        </w:rPr>
        <w:t>A</w:t>
      </w:r>
      <w:r w:rsidRPr="00E0621F">
        <w:rPr>
          <w:rFonts w:ascii="Palatino Linotype" w:hAnsi="Palatino Linotype" w:cs="Tahoma"/>
          <w:b/>
          <w:sz w:val="20"/>
          <w:szCs w:val="20"/>
        </w:rPr>
        <w:t xml:space="preserve"> </w:t>
      </w:r>
      <w:r w:rsidR="003E102C" w:rsidRPr="00E0621F">
        <w:rPr>
          <w:rFonts w:ascii="Palatino Linotype" w:hAnsi="Palatino Linotype" w:cs="Tahoma"/>
          <w:b/>
          <w:sz w:val="20"/>
          <w:szCs w:val="20"/>
        </w:rPr>
        <w:t>SECRETARÍA DE MOVILIDAD</w:t>
      </w:r>
      <w:r w:rsidRPr="00E0621F">
        <w:rPr>
          <w:rFonts w:ascii="Palatino Linotype" w:hAnsi="Palatino Linotype" w:cs="Tahoma"/>
          <w:b/>
          <w:sz w:val="20"/>
          <w:szCs w:val="20"/>
        </w:rPr>
        <w:t>.</w:t>
      </w:r>
    </w:p>
    <w:p w14:paraId="28E8F128" w14:textId="77777777" w:rsidR="009E0861" w:rsidRPr="00E0621F" w:rsidRDefault="009E0861" w:rsidP="003E102C">
      <w:pPr>
        <w:spacing w:after="0" w:line="360" w:lineRule="auto"/>
        <w:jc w:val="both"/>
        <w:rPr>
          <w:rFonts w:ascii="Palatino Linotype" w:hAnsi="Palatino Linotype" w:cs="Tahoma"/>
          <w:sz w:val="20"/>
          <w:szCs w:val="20"/>
        </w:rPr>
      </w:pPr>
    </w:p>
    <w:p w14:paraId="0B784F6B" w14:textId="77777777" w:rsidR="009E0861" w:rsidRPr="00E0621F" w:rsidRDefault="009E0861"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E0621F">
        <w:rPr>
          <w:rFonts w:ascii="Palatino Linotype" w:hAnsi="Palatino Linotype" w:cs="Tahoma"/>
          <w:b/>
          <w:sz w:val="20"/>
          <w:szCs w:val="20"/>
        </w:rPr>
        <w:t>Voto Particular</w:t>
      </w:r>
      <w:r w:rsidRPr="00E0621F">
        <w:rPr>
          <w:rFonts w:ascii="Palatino Linotype" w:hAnsi="Palatino Linotype" w:cs="Tahoma"/>
          <w:sz w:val="20"/>
          <w:szCs w:val="20"/>
        </w:rPr>
        <w:t xml:space="preserve"> por no compartir en su totalidad las consideraciones que sustentan la Resolución del Recurso de Revisión </w:t>
      </w:r>
      <w:r w:rsidR="00B027EB" w:rsidRPr="00E0621F">
        <w:rPr>
          <w:rFonts w:ascii="Palatino Linotype" w:hAnsi="Palatino Linotype" w:cs="Tahoma"/>
          <w:sz w:val="20"/>
          <w:szCs w:val="20"/>
        </w:rPr>
        <w:t>0</w:t>
      </w:r>
      <w:r w:rsidR="009D6B09" w:rsidRPr="00E0621F">
        <w:rPr>
          <w:rFonts w:ascii="Palatino Linotype" w:hAnsi="Palatino Linotype" w:cs="Tahoma"/>
          <w:sz w:val="20"/>
          <w:szCs w:val="20"/>
        </w:rPr>
        <w:t>4258</w:t>
      </w:r>
      <w:r w:rsidR="00A742D1" w:rsidRPr="00E0621F">
        <w:rPr>
          <w:rFonts w:ascii="Palatino Linotype" w:hAnsi="Palatino Linotype" w:cs="Tahoma"/>
          <w:sz w:val="20"/>
          <w:szCs w:val="20"/>
        </w:rPr>
        <w:t>/INFOEM/IP/RR/2018</w:t>
      </w:r>
      <w:r w:rsidRPr="00E0621F">
        <w:rPr>
          <w:rFonts w:ascii="Palatino Linotype" w:hAnsi="Palatino Linotype" w:cs="Tahoma"/>
          <w:sz w:val="20"/>
          <w:szCs w:val="20"/>
        </w:rPr>
        <w:t>.</w:t>
      </w:r>
    </w:p>
    <w:p w14:paraId="218B8514" w14:textId="77777777" w:rsidR="00617BEF" w:rsidRPr="00E0621F" w:rsidRDefault="00617BEF" w:rsidP="003E102C">
      <w:pPr>
        <w:spacing w:after="0" w:line="360" w:lineRule="auto"/>
        <w:jc w:val="both"/>
        <w:rPr>
          <w:rFonts w:ascii="Palatino Linotype" w:hAnsi="Palatino Linotype" w:cs="Tahoma"/>
          <w:sz w:val="20"/>
          <w:szCs w:val="20"/>
        </w:rPr>
      </w:pPr>
    </w:p>
    <w:p w14:paraId="1BB1CB25" w14:textId="4CA5E2E9" w:rsidR="00695C24" w:rsidRPr="00E0621F" w:rsidRDefault="00EA7E26" w:rsidP="00231EE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C</w:t>
      </w:r>
      <w:r w:rsidR="009E0861" w:rsidRPr="00E0621F">
        <w:rPr>
          <w:rFonts w:ascii="Palatino Linotype" w:hAnsi="Palatino Linotype" w:cs="Tahoma"/>
          <w:sz w:val="20"/>
          <w:szCs w:val="20"/>
        </w:rPr>
        <w:t xml:space="preserve">omo se desprende de la </w:t>
      </w:r>
      <w:r w:rsidR="001D3A6E" w:rsidRPr="00E0621F">
        <w:rPr>
          <w:rFonts w:ascii="Palatino Linotype" w:hAnsi="Palatino Linotype" w:cs="Tahoma"/>
          <w:sz w:val="20"/>
          <w:szCs w:val="20"/>
        </w:rPr>
        <w:t xml:space="preserve">Resolución </w:t>
      </w:r>
      <w:r w:rsidRPr="00E0621F">
        <w:rPr>
          <w:rFonts w:ascii="Palatino Linotype" w:hAnsi="Palatino Linotype" w:cs="Tahoma"/>
          <w:sz w:val="20"/>
          <w:szCs w:val="20"/>
        </w:rPr>
        <w:t>que nos ocupa</w:t>
      </w:r>
      <w:r w:rsidR="008C54A1" w:rsidRPr="00E0621F">
        <w:rPr>
          <w:rFonts w:ascii="Palatino Linotype" w:hAnsi="Palatino Linotype" w:cs="Tahoma"/>
          <w:sz w:val="20"/>
          <w:szCs w:val="20"/>
        </w:rPr>
        <w:t>, el solicitante</w:t>
      </w:r>
      <w:r w:rsidR="009E0861" w:rsidRPr="00E0621F">
        <w:rPr>
          <w:rFonts w:ascii="Palatino Linotype" w:hAnsi="Palatino Linotype" w:cs="Tahoma"/>
          <w:sz w:val="20"/>
          <w:szCs w:val="20"/>
        </w:rPr>
        <w:t xml:space="preserve"> requirió</w:t>
      </w:r>
      <w:r w:rsidR="00B36038" w:rsidRPr="00E0621F">
        <w:rPr>
          <w:rFonts w:ascii="Palatino Linotype" w:hAnsi="Palatino Linotype" w:cs="Tahoma"/>
          <w:sz w:val="20"/>
          <w:szCs w:val="20"/>
        </w:rPr>
        <w:t xml:space="preserve"> a</w:t>
      </w:r>
      <w:r w:rsidR="003E102C" w:rsidRPr="00E0621F">
        <w:rPr>
          <w:rFonts w:ascii="Palatino Linotype" w:hAnsi="Palatino Linotype" w:cs="Tahoma"/>
          <w:sz w:val="20"/>
          <w:szCs w:val="20"/>
        </w:rPr>
        <w:t xml:space="preserve"> </w:t>
      </w:r>
      <w:r w:rsidR="00B36038" w:rsidRPr="00E0621F">
        <w:rPr>
          <w:rFonts w:ascii="Palatino Linotype" w:hAnsi="Palatino Linotype" w:cs="Tahoma"/>
          <w:sz w:val="20"/>
          <w:szCs w:val="20"/>
        </w:rPr>
        <w:t>l</w:t>
      </w:r>
      <w:r w:rsidR="003E102C" w:rsidRPr="00E0621F">
        <w:rPr>
          <w:rFonts w:ascii="Palatino Linotype" w:hAnsi="Palatino Linotype" w:cs="Tahoma"/>
          <w:sz w:val="20"/>
          <w:szCs w:val="20"/>
        </w:rPr>
        <w:t>a</w:t>
      </w:r>
      <w:r w:rsidR="00B36038" w:rsidRPr="00E0621F">
        <w:rPr>
          <w:rFonts w:ascii="Palatino Linotype" w:hAnsi="Palatino Linotype" w:cs="Tahoma"/>
          <w:sz w:val="20"/>
          <w:szCs w:val="20"/>
        </w:rPr>
        <w:t xml:space="preserve"> </w:t>
      </w:r>
      <w:r w:rsidR="003E102C" w:rsidRPr="00E0621F">
        <w:rPr>
          <w:rFonts w:ascii="Palatino Linotype" w:hAnsi="Palatino Linotype" w:cs="Tahoma"/>
          <w:sz w:val="20"/>
          <w:szCs w:val="20"/>
        </w:rPr>
        <w:t>Secretaría de Movilidad, entre otras cosas</w:t>
      </w:r>
      <w:r w:rsidR="00695C24" w:rsidRPr="00E0621F">
        <w:rPr>
          <w:rFonts w:ascii="Palatino Linotype" w:eastAsiaTheme="minorEastAsia" w:hAnsi="Palatino Linotype" w:cs="Arial"/>
          <w:b/>
          <w:color w:val="000000" w:themeColor="text1"/>
          <w:sz w:val="20"/>
          <w:szCs w:val="20"/>
          <w:lang w:val="es-ES_tradnl" w:eastAsia="es-ES"/>
        </w:rPr>
        <w:t xml:space="preserve"> </w:t>
      </w:r>
      <w:r w:rsidR="00695C24" w:rsidRPr="00E0621F">
        <w:rPr>
          <w:rFonts w:ascii="Palatino Linotype" w:hAnsi="Palatino Linotype" w:cs="Tahoma"/>
          <w:sz w:val="20"/>
          <w:szCs w:val="20"/>
          <w:lang w:val="es-ES_tradnl"/>
        </w:rPr>
        <w:t>las declaraciones Patrimoniales de los año</w:t>
      </w:r>
      <w:r w:rsidR="001D3A6E" w:rsidRPr="00E0621F">
        <w:rPr>
          <w:rFonts w:ascii="Palatino Linotype" w:hAnsi="Palatino Linotype" w:cs="Tahoma"/>
          <w:sz w:val="20"/>
          <w:szCs w:val="20"/>
          <w:lang w:val="es-ES_tradnl"/>
        </w:rPr>
        <w:t>s</w:t>
      </w:r>
      <w:r w:rsidR="00695C24" w:rsidRPr="00E0621F">
        <w:rPr>
          <w:rFonts w:ascii="Palatino Linotype" w:hAnsi="Palatino Linotype" w:cs="Tahoma"/>
          <w:sz w:val="20"/>
          <w:szCs w:val="20"/>
          <w:lang w:val="es-ES_tradnl"/>
        </w:rPr>
        <w:t xml:space="preserve"> 1990 a 2018</w:t>
      </w:r>
      <w:r w:rsidR="001D3A6E" w:rsidRPr="00E0621F">
        <w:rPr>
          <w:rFonts w:ascii="Palatino Linotype" w:hAnsi="Palatino Linotype" w:cs="Tahoma"/>
          <w:sz w:val="20"/>
          <w:szCs w:val="20"/>
          <w:lang w:val="es-ES_tradnl"/>
        </w:rPr>
        <w:t>, de una servidora pública de la que proporcionó su nombre</w:t>
      </w:r>
      <w:r w:rsidR="00695C24" w:rsidRPr="00E0621F">
        <w:rPr>
          <w:rFonts w:ascii="Palatino Linotype" w:hAnsi="Palatino Linotype" w:cs="Tahoma"/>
          <w:sz w:val="20"/>
          <w:szCs w:val="20"/>
          <w:lang w:val="es-ES_tradnl"/>
        </w:rPr>
        <w:t xml:space="preserve">; </w:t>
      </w:r>
      <w:r w:rsidR="001D3A6E" w:rsidRPr="00E0621F">
        <w:rPr>
          <w:rFonts w:ascii="Palatino Linotype" w:hAnsi="Palatino Linotype" w:cs="Tahoma"/>
          <w:sz w:val="20"/>
          <w:szCs w:val="20"/>
          <w:lang w:val="es-ES_tradnl"/>
        </w:rPr>
        <w:t>en  respuesta</w:t>
      </w:r>
      <w:r w:rsidR="00B36038" w:rsidRPr="00E0621F">
        <w:rPr>
          <w:rFonts w:ascii="Palatino Linotype" w:hAnsi="Palatino Linotype" w:cs="Tahoma"/>
          <w:sz w:val="20"/>
          <w:szCs w:val="20"/>
        </w:rPr>
        <w:t>,</w:t>
      </w:r>
      <w:r w:rsidR="008C54A1" w:rsidRPr="00E0621F">
        <w:rPr>
          <w:rFonts w:ascii="Palatino Linotype" w:hAnsi="Palatino Linotype" w:cs="Tahoma"/>
          <w:sz w:val="20"/>
          <w:szCs w:val="20"/>
        </w:rPr>
        <w:t xml:space="preserve"> el Sujeto Obligado </w:t>
      </w:r>
      <w:r w:rsidR="00695C24" w:rsidRPr="00E0621F">
        <w:rPr>
          <w:rFonts w:ascii="Palatino Linotype" w:hAnsi="Palatino Linotype" w:cs="Tahoma"/>
          <w:sz w:val="20"/>
          <w:szCs w:val="20"/>
        </w:rPr>
        <w:t xml:space="preserve">manifestó </w:t>
      </w:r>
      <w:r w:rsidR="00E0466E" w:rsidRPr="00E0621F">
        <w:rPr>
          <w:rFonts w:ascii="Palatino Linotype" w:hAnsi="Palatino Linotype" w:cs="Tahoma"/>
          <w:sz w:val="20"/>
          <w:szCs w:val="20"/>
        </w:rPr>
        <w:t>entre otras cosas</w:t>
      </w:r>
      <w:r w:rsidR="001D3A6E" w:rsidRPr="00E0621F">
        <w:rPr>
          <w:rFonts w:ascii="Palatino Linotype" w:hAnsi="Palatino Linotype" w:cs="Tahoma"/>
          <w:sz w:val="20"/>
          <w:szCs w:val="20"/>
        </w:rPr>
        <w:t>,</w:t>
      </w:r>
      <w:r w:rsidR="00E0466E" w:rsidRPr="00E0621F">
        <w:rPr>
          <w:rFonts w:ascii="Palatino Linotype" w:hAnsi="Palatino Linotype" w:cs="Tahoma"/>
          <w:sz w:val="20"/>
          <w:szCs w:val="20"/>
        </w:rPr>
        <w:t xml:space="preserve"> </w:t>
      </w:r>
      <w:r w:rsidR="008C54A1" w:rsidRPr="00E0621F">
        <w:rPr>
          <w:rFonts w:ascii="Palatino Linotype" w:hAnsi="Palatino Linotype" w:cs="Tahoma"/>
          <w:sz w:val="20"/>
          <w:szCs w:val="20"/>
        </w:rPr>
        <w:t>que</w:t>
      </w:r>
      <w:r w:rsidR="00E0466E" w:rsidRPr="00E0621F">
        <w:rPr>
          <w:rFonts w:ascii="Palatino Linotype" w:hAnsi="Palatino Linotype" w:cs="Tahoma"/>
          <w:sz w:val="20"/>
          <w:szCs w:val="20"/>
        </w:rPr>
        <w:t xml:space="preserve"> </w:t>
      </w:r>
      <w:r w:rsidR="00695C24" w:rsidRPr="00E0621F">
        <w:rPr>
          <w:rFonts w:ascii="Palatino Linotype" w:hAnsi="Palatino Linotype" w:cs="Tahoma"/>
          <w:sz w:val="20"/>
          <w:szCs w:val="20"/>
        </w:rPr>
        <w:t xml:space="preserve">no cuenta con autorización previa y </w:t>
      </w:r>
      <w:r w:rsidR="001D3A6E" w:rsidRPr="00E0621F">
        <w:rPr>
          <w:rFonts w:ascii="Palatino Linotype" w:hAnsi="Palatino Linotype" w:cs="Tahoma"/>
          <w:sz w:val="20"/>
          <w:szCs w:val="20"/>
        </w:rPr>
        <w:t xml:space="preserve">específica </w:t>
      </w:r>
      <w:r w:rsidR="00695C24" w:rsidRPr="00E0621F">
        <w:rPr>
          <w:rFonts w:ascii="Palatino Linotype" w:hAnsi="Palatino Linotype" w:cs="Tahoma"/>
          <w:sz w:val="20"/>
          <w:szCs w:val="20"/>
        </w:rPr>
        <w:t>de la servidor</w:t>
      </w:r>
      <w:r w:rsidR="001D3A6E" w:rsidRPr="00E0621F">
        <w:rPr>
          <w:rFonts w:ascii="Palatino Linotype" w:hAnsi="Palatino Linotype" w:cs="Tahoma"/>
          <w:sz w:val="20"/>
          <w:szCs w:val="20"/>
        </w:rPr>
        <w:t>a</w:t>
      </w:r>
      <w:r w:rsidR="00695C24" w:rsidRPr="00E0621F">
        <w:rPr>
          <w:rFonts w:ascii="Palatino Linotype" w:hAnsi="Palatino Linotype" w:cs="Tahoma"/>
          <w:sz w:val="20"/>
          <w:szCs w:val="20"/>
        </w:rPr>
        <w:t xml:space="preserve"> público en </w:t>
      </w:r>
      <w:r w:rsidR="001D3A6E" w:rsidRPr="00E0621F">
        <w:rPr>
          <w:rFonts w:ascii="Palatino Linotype" w:hAnsi="Palatino Linotype" w:cs="Tahoma"/>
          <w:sz w:val="20"/>
          <w:szCs w:val="20"/>
        </w:rPr>
        <w:t>la</w:t>
      </w:r>
      <w:r w:rsidR="00695C24" w:rsidRPr="00E0621F">
        <w:rPr>
          <w:rFonts w:ascii="Palatino Linotype" w:hAnsi="Palatino Linotype" w:cs="Tahoma"/>
          <w:sz w:val="20"/>
          <w:szCs w:val="20"/>
        </w:rPr>
        <w:t xml:space="preserve"> que se haya otorgado consentimiento expreso para hacer públicas su</w:t>
      </w:r>
      <w:r w:rsidR="001D3A6E" w:rsidRPr="00E0621F">
        <w:rPr>
          <w:rFonts w:ascii="Palatino Linotype" w:hAnsi="Palatino Linotype" w:cs="Tahoma"/>
          <w:sz w:val="20"/>
          <w:szCs w:val="20"/>
        </w:rPr>
        <w:t>s</w:t>
      </w:r>
      <w:r w:rsidR="00695C24" w:rsidRPr="00E0621F">
        <w:rPr>
          <w:rFonts w:ascii="Palatino Linotype" w:hAnsi="Palatino Linotype" w:cs="Tahoma"/>
          <w:sz w:val="20"/>
          <w:szCs w:val="20"/>
        </w:rPr>
        <w:t xml:space="preserve"> </w:t>
      </w:r>
      <w:r w:rsidR="001D3A6E" w:rsidRPr="00E0621F">
        <w:rPr>
          <w:rFonts w:ascii="Palatino Linotype" w:hAnsi="Palatino Linotype" w:cs="Tahoma"/>
          <w:sz w:val="20"/>
          <w:szCs w:val="20"/>
        </w:rPr>
        <w:t xml:space="preserve">Manifestaciones </w:t>
      </w:r>
      <w:r w:rsidR="00695C24" w:rsidRPr="00E0621F">
        <w:rPr>
          <w:rFonts w:ascii="Palatino Linotype" w:hAnsi="Palatino Linotype" w:cs="Tahoma"/>
          <w:sz w:val="20"/>
          <w:szCs w:val="20"/>
        </w:rPr>
        <w:t xml:space="preserve">de Bienes y/o Declaraciones de Situación Patrimonial, </w:t>
      </w:r>
      <w:r w:rsidR="001D3A6E" w:rsidRPr="00E0621F">
        <w:rPr>
          <w:rFonts w:ascii="Palatino Linotype" w:hAnsi="Palatino Linotype" w:cs="Tahoma"/>
          <w:sz w:val="20"/>
          <w:szCs w:val="20"/>
        </w:rPr>
        <w:t xml:space="preserve">así como sus </w:t>
      </w:r>
      <w:r w:rsidR="00695C24" w:rsidRPr="00E0621F">
        <w:rPr>
          <w:rFonts w:ascii="Palatino Linotype" w:hAnsi="Palatino Linotype" w:cs="Tahoma"/>
          <w:sz w:val="20"/>
          <w:szCs w:val="20"/>
        </w:rPr>
        <w:t>de</w:t>
      </w:r>
      <w:r w:rsidR="001D3A6E" w:rsidRPr="00E0621F">
        <w:rPr>
          <w:rFonts w:ascii="Palatino Linotype" w:hAnsi="Palatino Linotype" w:cs="Tahoma"/>
          <w:sz w:val="20"/>
          <w:szCs w:val="20"/>
        </w:rPr>
        <w:t>claraciones de</w:t>
      </w:r>
      <w:r w:rsidR="00695C24" w:rsidRPr="00E0621F">
        <w:rPr>
          <w:rFonts w:ascii="Palatino Linotype" w:hAnsi="Palatino Linotype" w:cs="Tahoma"/>
          <w:sz w:val="20"/>
          <w:szCs w:val="20"/>
        </w:rPr>
        <w:t xml:space="preserve"> intereses.</w:t>
      </w:r>
    </w:p>
    <w:p w14:paraId="0ECB09D6" w14:textId="77777777" w:rsidR="00695C24" w:rsidRPr="00E0621F" w:rsidRDefault="00695C24" w:rsidP="00231EEC">
      <w:pPr>
        <w:spacing w:after="0" w:line="360" w:lineRule="auto"/>
        <w:jc w:val="both"/>
        <w:rPr>
          <w:rFonts w:ascii="Palatino Linotype" w:hAnsi="Palatino Linotype" w:cs="Tahoma"/>
          <w:sz w:val="20"/>
          <w:szCs w:val="20"/>
        </w:rPr>
      </w:pPr>
    </w:p>
    <w:p w14:paraId="1E44FD7C" w14:textId="0621FE8F" w:rsidR="00B72F91" w:rsidRPr="00E0621F" w:rsidRDefault="00964C11" w:rsidP="003E102C">
      <w:pPr>
        <w:spacing w:after="0" w:line="360" w:lineRule="auto"/>
        <w:jc w:val="both"/>
        <w:rPr>
          <w:rFonts w:ascii="Palatino Linotype" w:eastAsiaTheme="minorEastAsia" w:hAnsi="Palatino Linotype" w:cs="Arial"/>
          <w:sz w:val="20"/>
          <w:szCs w:val="20"/>
          <w:lang w:val="es-ES_tradnl" w:eastAsia="es-MX"/>
        </w:rPr>
      </w:pPr>
      <w:r w:rsidRPr="00E0621F">
        <w:rPr>
          <w:rFonts w:ascii="Palatino Linotype" w:hAnsi="Palatino Linotype" w:cs="Tahoma"/>
          <w:sz w:val="20"/>
          <w:szCs w:val="20"/>
        </w:rPr>
        <w:t xml:space="preserve">De tal suerte, el </w:t>
      </w:r>
      <w:r w:rsidR="00056C03" w:rsidRPr="00E0621F">
        <w:rPr>
          <w:rFonts w:ascii="Palatino Linotype" w:hAnsi="Palatino Linotype" w:cs="Tahoma"/>
          <w:sz w:val="20"/>
          <w:szCs w:val="20"/>
        </w:rPr>
        <w:t>Recurrente interpuso Recurso de Revisión</w:t>
      </w:r>
      <w:r w:rsidR="000A2BC4" w:rsidRPr="00E0621F">
        <w:rPr>
          <w:rFonts w:ascii="Palatino Linotype" w:hAnsi="Palatino Linotype" w:cs="Tahoma"/>
          <w:sz w:val="20"/>
          <w:szCs w:val="20"/>
        </w:rPr>
        <w:t>, bajo el argumento de que</w:t>
      </w:r>
      <w:r w:rsidR="00056C03" w:rsidRPr="00E0621F">
        <w:rPr>
          <w:rFonts w:ascii="Palatino Linotype" w:hAnsi="Palatino Linotype" w:cs="Tahoma"/>
          <w:sz w:val="20"/>
          <w:szCs w:val="20"/>
        </w:rPr>
        <w:t xml:space="preserve"> </w:t>
      </w:r>
      <w:r w:rsidR="00D37352" w:rsidRPr="00E0621F">
        <w:rPr>
          <w:rFonts w:ascii="Palatino Linotype" w:hAnsi="Palatino Linotype" w:cs="Tahoma"/>
          <w:sz w:val="20"/>
          <w:szCs w:val="20"/>
        </w:rPr>
        <w:t>se le negaba la información,</w:t>
      </w:r>
      <w:r w:rsidR="00B72F91" w:rsidRPr="00E0621F">
        <w:rPr>
          <w:rFonts w:ascii="Palatino Linotype" w:hAnsi="Palatino Linotype" w:cs="Tahoma"/>
          <w:sz w:val="20"/>
          <w:szCs w:val="20"/>
        </w:rPr>
        <w:t xml:space="preserve"> por su parte </w:t>
      </w:r>
      <w:r w:rsidR="00056C03" w:rsidRPr="00E0621F">
        <w:rPr>
          <w:rFonts w:ascii="Palatino Linotype" w:hAnsi="Palatino Linotype" w:cs="Tahoma"/>
          <w:sz w:val="20"/>
          <w:szCs w:val="20"/>
        </w:rPr>
        <w:t>el Sujeto Obligado</w:t>
      </w:r>
      <w:r w:rsidR="00056C03" w:rsidRPr="00E0621F">
        <w:rPr>
          <w:rFonts w:ascii="Palatino Linotype" w:eastAsiaTheme="minorEastAsia" w:hAnsi="Palatino Linotype" w:cs="Arial"/>
          <w:sz w:val="20"/>
          <w:szCs w:val="20"/>
          <w:lang w:val="es-ES_tradnl" w:eastAsia="es-MX"/>
        </w:rPr>
        <w:t xml:space="preserve"> </w:t>
      </w:r>
      <w:r w:rsidR="00B72F91" w:rsidRPr="00E0621F">
        <w:rPr>
          <w:rFonts w:ascii="Palatino Linotype" w:hAnsi="Palatino Linotype" w:cs="Tahoma"/>
          <w:sz w:val="20"/>
          <w:szCs w:val="20"/>
        </w:rPr>
        <w:t xml:space="preserve">en su </w:t>
      </w:r>
      <w:r w:rsidR="000A2BC4" w:rsidRPr="00E0621F">
        <w:rPr>
          <w:rFonts w:ascii="Palatino Linotype" w:hAnsi="Palatino Linotype" w:cs="Tahoma"/>
          <w:sz w:val="20"/>
          <w:szCs w:val="20"/>
        </w:rPr>
        <w:t xml:space="preserve">Informe Justificado </w:t>
      </w:r>
      <w:r w:rsidR="00CB2691" w:rsidRPr="00E0621F">
        <w:rPr>
          <w:rFonts w:ascii="Palatino Linotype" w:eastAsiaTheme="minorEastAsia" w:hAnsi="Palatino Linotype" w:cs="Arial"/>
          <w:sz w:val="20"/>
          <w:szCs w:val="20"/>
          <w:lang w:val="es-ES_tradnl" w:eastAsia="es-MX"/>
        </w:rPr>
        <w:t xml:space="preserve">reiteró </w:t>
      </w:r>
      <w:r w:rsidR="00B72F91" w:rsidRPr="00E0621F">
        <w:rPr>
          <w:rFonts w:ascii="Palatino Linotype" w:eastAsiaTheme="minorEastAsia" w:hAnsi="Palatino Linotype" w:cs="Arial"/>
          <w:sz w:val="20"/>
          <w:szCs w:val="20"/>
          <w:lang w:val="es-ES_tradnl" w:eastAsia="es-MX"/>
        </w:rPr>
        <w:t xml:space="preserve">que no contaba con manifestación, autorización o consentimiento expreso por parte de la Servidora Pública de la denominada manifestación de bienes, </w:t>
      </w:r>
      <w:r w:rsidR="000A2BC4" w:rsidRPr="00E0621F">
        <w:rPr>
          <w:rFonts w:ascii="Palatino Linotype" w:eastAsiaTheme="minorEastAsia" w:hAnsi="Palatino Linotype" w:cs="Arial"/>
          <w:sz w:val="20"/>
          <w:szCs w:val="20"/>
          <w:lang w:val="es-ES_tradnl" w:eastAsia="es-MX"/>
        </w:rPr>
        <w:t>en virtud de</w:t>
      </w:r>
      <w:r w:rsidR="00B72F91" w:rsidRPr="00E0621F">
        <w:rPr>
          <w:rFonts w:ascii="Palatino Linotype" w:eastAsiaTheme="minorEastAsia" w:hAnsi="Palatino Linotype" w:cs="Arial"/>
          <w:sz w:val="20"/>
          <w:szCs w:val="20"/>
          <w:lang w:val="es-ES_tradnl" w:eastAsia="es-MX"/>
        </w:rPr>
        <w:t xml:space="preserve"> que para </w:t>
      </w:r>
      <w:r w:rsidR="000A2BC4" w:rsidRPr="00E0621F">
        <w:rPr>
          <w:rFonts w:ascii="Palatino Linotype" w:eastAsiaTheme="minorEastAsia" w:hAnsi="Palatino Linotype" w:cs="Arial"/>
          <w:sz w:val="20"/>
          <w:szCs w:val="20"/>
          <w:lang w:val="es-ES_tradnl" w:eastAsia="es-MX"/>
        </w:rPr>
        <w:t>poder</w:t>
      </w:r>
      <w:r w:rsidR="00B72F91" w:rsidRPr="00E0621F">
        <w:rPr>
          <w:rFonts w:ascii="Palatino Linotype" w:eastAsiaTheme="minorEastAsia" w:hAnsi="Palatino Linotype" w:cs="Arial"/>
          <w:sz w:val="20"/>
          <w:szCs w:val="20"/>
          <w:lang w:val="es-ES_tradnl" w:eastAsia="es-MX"/>
        </w:rPr>
        <w:t xml:space="preserve"> dar acceso a la información confidencial</w:t>
      </w:r>
      <w:r w:rsidR="000A2BC4" w:rsidRPr="00E0621F">
        <w:rPr>
          <w:rFonts w:ascii="Palatino Linotype" w:eastAsiaTheme="minorEastAsia" w:hAnsi="Palatino Linotype" w:cs="Arial"/>
          <w:sz w:val="20"/>
          <w:szCs w:val="20"/>
          <w:lang w:val="es-ES_tradnl" w:eastAsia="es-MX"/>
        </w:rPr>
        <w:t xml:space="preserve">, </w:t>
      </w:r>
      <w:r w:rsidR="00B72F91" w:rsidRPr="00E0621F">
        <w:rPr>
          <w:rFonts w:ascii="Palatino Linotype" w:eastAsiaTheme="minorEastAsia" w:hAnsi="Palatino Linotype" w:cs="Arial"/>
          <w:sz w:val="20"/>
          <w:szCs w:val="20"/>
          <w:lang w:val="es-ES_tradnl" w:eastAsia="es-MX"/>
        </w:rPr>
        <w:t>se requiere el consentimiento de los titulares de la información.</w:t>
      </w:r>
    </w:p>
    <w:p w14:paraId="57BD2E00" w14:textId="77777777" w:rsidR="00041BDE" w:rsidRPr="00E0621F" w:rsidRDefault="00B72F91"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 </w:t>
      </w:r>
    </w:p>
    <w:p w14:paraId="0F9A996F" w14:textId="1AFC336F" w:rsidR="00BE24E6" w:rsidRPr="00E0621F" w:rsidRDefault="00BE24E6"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lastRenderedPageBreak/>
        <w:t xml:space="preserve">En consecuencia, para analizar la procedencia de la entrega de la información, la Ponencia Resolutora basó su análisis en </w:t>
      </w:r>
      <w:r w:rsidR="00180A43" w:rsidRPr="00E0621F">
        <w:rPr>
          <w:rFonts w:ascii="Palatino Linotype" w:hAnsi="Palatino Linotype" w:cs="Tahoma"/>
          <w:sz w:val="20"/>
          <w:szCs w:val="20"/>
        </w:rPr>
        <w:t>l</w:t>
      </w:r>
      <w:r w:rsidR="00434183" w:rsidRPr="00E0621F">
        <w:rPr>
          <w:rFonts w:ascii="Palatino Linotype" w:hAnsi="Palatino Linotype" w:cs="Tahoma"/>
          <w:sz w:val="20"/>
          <w:szCs w:val="20"/>
        </w:rPr>
        <w:t xml:space="preserve">os formatos </w:t>
      </w:r>
      <w:r w:rsidR="003C5D30" w:rsidRPr="00E0621F">
        <w:rPr>
          <w:rFonts w:ascii="Palatino Linotype" w:hAnsi="Palatino Linotype" w:cs="Tahoma"/>
          <w:sz w:val="20"/>
          <w:szCs w:val="20"/>
        </w:rPr>
        <w:t xml:space="preserve">para </w:t>
      </w:r>
      <w:r w:rsidR="00434183" w:rsidRPr="00E0621F">
        <w:rPr>
          <w:rFonts w:ascii="Palatino Linotype" w:hAnsi="Palatino Linotype" w:cs="Tahoma"/>
          <w:sz w:val="20"/>
          <w:szCs w:val="20"/>
        </w:rPr>
        <w:t>la publicidad de las declaraciones patrimonial</w:t>
      </w:r>
      <w:r w:rsidRPr="00E0621F">
        <w:rPr>
          <w:rFonts w:ascii="Palatino Linotype" w:hAnsi="Palatino Linotype" w:cs="Tahoma"/>
          <w:sz w:val="20"/>
          <w:szCs w:val="20"/>
        </w:rPr>
        <w:t>,</w:t>
      </w:r>
      <w:r w:rsidR="00434183" w:rsidRPr="00E0621F">
        <w:rPr>
          <w:rFonts w:ascii="Palatino Linotype" w:hAnsi="Palatino Linotype" w:cs="Tahoma"/>
          <w:sz w:val="20"/>
          <w:szCs w:val="20"/>
        </w:rPr>
        <w:t xml:space="preserve"> de intereses </w:t>
      </w:r>
      <w:r w:rsidRPr="00E0621F">
        <w:rPr>
          <w:rFonts w:ascii="Palatino Linotype" w:hAnsi="Palatino Linotype" w:cs="Tahoma"/>
          <w:sz w:val="20"/>
          <w:szCs w:val="20"/>
        </w:rPr>
        <w:t xml:space="preserve">y fiscales, </w:t>
      </w:r>
      <w:r w:rsidR="00434183" w:rsidRPr="00E0621F">
        <w:rPr>
          <w:rFonts w:ascii="Palatino Linotype" w:hAnsi="Palatino Linotype" w:cs="Tahoma"/>
          <w:sz w:val="20"/>
          <w:szCs w:val="20"/>
        </w:rPr>
        <w:t>aplicables a todos los poderes</w:t>
      </w:r>
      <w:r w:rsidR="000F633C" w:rsidRPr="00E0621F">
        <w:rPr>
          <w:rFonts w:ascii="Palatino Linotype" w:hAnsi="Palatino Linotype" w:cs="Tahoma"/>
          <w:sz w:val="20"/>
          <w:szCs w:val="20"/>
        </w:rPr>
        <w:t xml:space="preserve"> del Estado,</w:t>
      </w:r>
      <w:r w:rsidR="00434183" w:rsidRPr="00E0621F">
        <w:rPr>
          <w:rFonts w:ascii="Palatino Linotype" w:hAnsi="Palatino Linotype" w:cs="Tahoma"/>
          <w:sz w:val="20"/>
          <w:szCs w:val="20"/>
        </w:rPr>
        <w:t xml:space="preserve"> organismos autónomos</w:t>
      </w:r>
      <w:r w:rsidR="000F633C" w:rsidRPr="00E0621F">
        <w:rPr>
          <w:rFonts w:ascii="Palatino Linotype" w:hAnsi="Palatino Linotype" w:cs="Tahoma"/>
          <w:sz w:val="20"/>
          <w:szCs w:val="20"/>
        </w:rPr>
        <w:t xml:space="preserve"> y municipios</w:t>
      </w:r>
      <w:r w:rsidR="00E50043">
        <w:rPr>
          <w:rFonts w:ascii="Palatino Linotype" w:hAnsi="Palatino Linotype" w:cs="Tahoma"/>
          <w:sz w:val="20"/>
          <w:szCs w:val="20"/>
        </w:rPr>
        <w:t>,</w:t>
      </w:r>
      <w:r w:rsidR="00434183" w:rsidRPr="00E0621F">
        <w:rPr>
          <w:rFonts w:ascii="Palatino Linotype" w:hAnsi="Palatino Linotype" w:cs="Tahoma"/>
          <w:sz w:val="20"/>
          <w:szCs w:val="20"/>
        </w:rPr>
        <w:t xml:space="preserve"> </w:t>
      </w:r>
      <w:r w:rsidR="000F633C" w:rsidRPr="00E0621F">
        <w:rPr>
          <w:rFonts w:ascii="Palatino Linotype" w:hAnsi="Palatino Linotype" w:cs="Tahoma"/>
          <w:sz w:val="20"/>
          <w:szCs w:val="20"/>
        </w:rPr>
        <w:t>además de las instituciones</w:t>
      </w:r>
      <w:r w:rsidR="00434183" w:rsidRPr="00E0621F">
        <w:rPr>
          <w:rFonts w:ascii="Palatino Linotype" w:hAnsi="Palatino Linotype" w:cs="Tahoma"/>
          <w:sz w:val="20"/>
          <w:szCs w:val="20"/>
        </w:rPr>
        <w:t xml:space="preserve"> federal</w:t>
      </w:r>
      <w:r w:rsidR="000F633C" w:rsidRPr="00E0621F">
        <w:rPr>
          <w:rFonts w:ascii="Palatino Linotype" w:hAnsi="Palatino Linotype" w:cs="Tahoma"/>
          <w:sz w:val="20"/>
          <w:szCs w:val="20"/>
        </w:rPr>
        <w:t>es</w:t>
      </w:r>
      <w:r w:rsidR="00434183" w:rsidRPr="00E0621F">
        <w:rPr>
          <w:rFonts w:ascii="Palatino Linotype" w:hAnsi="Palatino Linotype" w:cs="Tahoma"/>
          <w:sz w:val="20"/>
          <w:szCs w:val="20"/>
        </w:rPr>
        <w:t xml:space="preserve">, </w:t>
      </w:r>
      <w:r w:rsidRPr="00E0621F">
        <w:rPr>
          <w:rFonts w:ascii="Palatino Linotype" w:hAnsi="Palatino Linotype" w:cs="Tahoma"/>
          <w:sz w:val="20"/>
          <w:szCs w:val="20"/>
        </w:rPr>
        <w:t xml:space="preserve">previstos en la Ley General del Sistema Nacional Anticorrupción </w:t>
      </w:r>
      <w:r w:rsidR="00007BE2" w:rsidRPr="00E0621F">
        <w:rPr>
          <w:rFonts w:ascii="Palatino Linotype" w:hAnsi="Palatino Linotype" w:cs="Tahoma"/>
          <w:sz w:val="20"/>
          <w:szCs w:val="20"/>
        </w:rPr>
        <w:t>y en la Entidad en la Ley de Responsabilidades Administrativas del Estado de México y Municipios, esta última publicada en el Periódico Oficial “Gaceta del Gobierno” el treinta de mayo de dos mil diecisiete</w:t>
      </w:r>
      <w:r w:rsidR="00180A43" w:rsidRPr="00E0621F">
        <w:rPr>
          <w:rFonts w:ascii="Palatino Linotype" w:hAnsi="Palatino Linotype" w:cs="Tahoma"/>
          <w:sz w:val="20"/>
          <w:szCs w:val="20"/>
        </w:rPr>
        <w:t>.</w:t>
      </w:r>
    </w:p>
    <w:p w14:paraId="38FCEC39" w14:textId="77777777" w:rsidR="00BE24E6" w:rsidRPr="00E0621F" w:rsidRDefault="00BE24E6" w:rsidP="003E102C">
      <w:pPr>
        <w:spacing w:after="0" w:line="360" w:lineRule="auto"/>
        <w:jc w:val="both"/>
        <w:rPr>
          <w:rFonts w:ascii="Palatino Linotype" w:hAnsi="Palatino Linotype" w:cs="Tahoma"/>
          <w:sz w:val="20"/>
          <w:szCs w:val="20"/>
        </w:rPr>
      </w:pPr>
    </w:p>
    <w:p w14:paraId="59FF29B0" w14:textId="7327766A" w:rsidR="00434183" w:rsidRPr="00E0621F" w:rsidRDefault="00180A43"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Así, de acuerdo con la normatividad en materia de anticorrupción y responsabilidades, precisó que los formatos para presentar las declaraciones conocidas como </w:t>
      </w:r>
      <w:r w:rsidRPr="00E0621F">
        <w:rPr>
          <w:rFonts w:ascii="Palatino Linotype" w:hAnsi="Palatino Linotype" w:cs="Tahoma"/>
          <w:i/>
          <w:sz w:val="20"/>
          <w:szCs w:val="20"/>
        </w:rPr>
        <w:t xml:space="preserve">3 de 3 </w:t>
      </w:r>
      <w:r w:rsidRPr="00E0621F">
        <w:rPr>
          <w:rFonts w:ascii="Palatino Linotype" w:hAnsi="Palatino Linotype" w:cs="Tahoma"/>
          <w:sz w:val="20"/>
          <w:szCs w:val="20"/>
        </w:rPr>
        <w:t xml:space="preserve">(patrimonial, de intereses y fiscal) </w:t>
      </w:r>
      <w:r w:rsidR="003C5D30" w:rsidRPr="00E0621F">
        <w:rPr>
          <w:rFonts w:ascii="Palatino Linotype" w:hAnsi="Palatino Linotype" w:cs="Tahoma"/>
          <w:sz w:val="20"/>
          <w:szCs w:val="20"/>
        </w:rPr>
        <w:t xml:space="preserve">ya fueron aprobados por </w:t>
      </w:r>
      <w:r w:rsidR="00434183" w:rsidRPr="00E0621F">
        <w:rPr>
          <w:rFonts w:ascii="Palatino Linotype" w:hAnsi="Palatino Linotype" w:cs="Tahoma"/>
          <w:sz w:val="20"/>
          <w:szCs w:val="20"/>
        </w:rPr>
        <w:t>el Comité de Participación Ciudadana del Sistema Nacional Anticorrupción, (</w:t>
      </w:r>
      <w:r w:rsidR="003C5D30" w:rsidRPr="00E0621F">
        <w:rPr>
          <w:rFonts w:ascii="Palatino Linotype" w:hAnsi="Palatino Linotype" w:cs="Tahoma"/>
          <w:sz w:val="20"/>
          <w:szCs w:val="20"/>
        </w:rPr>
        <w:t xml:space="preserve">información disponible en </w:t>
      </w:r>
      <w:hyperlink r:id="rId8" w:history="1">
        <w:r w:rsidR="003C5D30" w:rsidRPr="00E0621F">
          <w:rPr>
            <w:rStyle w:val="Hipervnculo"/>
            <w:rFonts w:ascii="Palatino Linotype" w:hAnsi="Palatino Linotype" w:cs="Tahoma"/>
            <w:sz w:val="20"/>
            <w:szCs w:val="20"/>
          </w:rPr>
          <w:t>https://cpc.org.mx/2018/11/16/formato-de-declaraciones-de-situacion-patrimonial-y-de-intereses/</w:t>
        </w:r>
      </w:hyperlink>
      <w:r w:rsidR="00434183" w:rsidRPr="00E0621F">
        <w:rPr>
          <w:rFonts w:ascii="Palatino Linotype" w:hAnsi="Palatino Linotype" w:cs="Tahoma"/>
          <w:sz w:val="20"/>
          <w:szCs w:val="20"/>
        </w:rPr>
        <w:t>)</w:t>
      </w:r>
      <w:r w:rsidR="00E56D91" w:rsidRPr="00E0621F">
        <w:rPr>
          <w:rFonts w:ascii="Palatino Linotype" w:hAnsi="Palatino Linotype" w:cs="Tahoma"/>
          <w:sz w:val="20"/>
          <w:szCs w:val="20"/>
        </w:rPr>
        <w:t xml:space="preserve">; </w:t>
      </w:r>
      <w:r w:rsidRPr="00E0621F">
        <w:rPr>
          <w:rFonts w:ascii="Palatino Linotype" w:hAnsi="Palatino Linotype" w:cs="Tahoma"/>
          <w:sz w:val="20"/>
          <w:szCs w:val="20"/>
        </w:rPr>
        <w:t xml:space="preserve">sin embargo, toda vez que </w:t>
      </w:r>
      <w:r w:rsidR="00E56D91" w:rsidRPr="00E0621F">
        <w:rPr>
          <w:rFonts w:ascii="Palatino Linotype" w:hAnsi="Palatino Linotype" w:cs="Tahoma"/>
          <w:sz w:val="20"/>
          <w:szCs w:val="20"/>
        </w:rPr>
        <w:t>a</w:t>
      </w:r>
      <w:r w:rsidR="00412131">
        <w:rPr>
          <w:rFonts w:ascii="Palatino Linotype" w:hAnsi="Palatino Linotype" w:cs="Tahoma"/>
          <w:sz w:val="20"/>
          <w:szCs w:val="20"/>
        </w:rPr>
        <w:t>ú</w:t>
      </w:r>
      <w:r w:rsidR="00E56D91" w:rsidRPr="00E0621F">
        <w:rPr>
          <w:rFonts w:ascii="Palatino Linotype" w:hAnsi="Palatino Linotype" w:cs="Tahoma"/>
          <w:sz w:val="20"/>
          <w:szCs w:val="20"/>
        </w:rPr>
        <w:t>n no entran en vigor para ser utilizados por los Servidores Públicos</w:t>
      </w:r>
      <w:r w:rsidRPr="00E0621F">
        <w:rPr>
          <w:rFonts w:ascii="Palatino Linotype" w:hAnsi="Palatino Linotype" w:cs="Tahoma"/>
          <w:sz w:val="20"/>
          <w:szCs w:val="20"/>
        </w:rPr>
        <w:t>, la información no puede proporcionarse (la entrada en vigor de los formatos referidos</w:t>
      </w:r>
      <w:r w:rsidR="00E56D91" w:rsidRPr="00E0621F">
        <w:rPr>
          <w:rFonts w:ascii="Palatino Linotype" w:hAnsi="Palatino Linotype" w:cs="Tahoma"/>
          <w:sz w:val="20"/>
          <w:szCs w:val="20"/>
        </w:rPr>
        <w:t xml:space="preserve"> es a más tardar el </w:t>
      </w:r>
      <w:r w:rsidR="00412131">
        <w:rPr>
          <w:rFonts w:ascii="Palatino Linotype" w:hAnsi="Palatino Linotype" w:cs="Tahoma"/>
          <w:sz w:val="20"/>
          <w:szCs w:val="20"/>
        </w:rPr>
        <w:t>treinta</w:t>
      </w:r>
      <w:r w:rsidR="00412131" w:rsidRPr="00E0621F">
        <w:rPr>
          <w:rFonts w:ascii="Palatino Linotype" w:hAnsi="Palatino Linotype" w:cs="Tahoma"/>
          <w:sz w:val="20"/>
          <w:szCs w:val="20"/>
        </w:rPr>
        <w:t xml:space="preserve"> </w:t>
      </w:r>
      <w:r w:rsidR="00E56D91" w:rsidRPr="00E0621F">
        <w:rPr>
          <w:rFonts w:ascii="Palatino Linotype" w:hAnsi="Palatino Linotype" w:cs="Tahoma"/>
          <w:sz w:val="20"/>
          <w:szCs w:val="20"/>
        </w:rPr>
        <w:t>de abril del año en curso</w:t>
      </w:r>
      <w:r w:rsidRPr="00E0621F">
        <w:rPr>
          <w:rFonts w:ascii="Palatino Linotype" w:hAnsi="Palatino Linotype" w:cs="Tahoma"/>
          <w:sz w:val="20"/>
          <w:szCs w:val="20"/>
        </w:rPr>
        <w:t>)</w:t>
      </w:r>
      <w:r w:rsidR="00E56D91" w:rsidRPr="00E0621F">
        <w:rPr>
          <w:rFonts w:ascii="Palatino Linotype" w:hAnsi="Palatino Linotype" w:cs="Tahoma"/>
          <w:sz w:val="20"/>
          <w:szCs w:val="20"/>
        </w:rPr>
        <w:t>.</w:t>
      </w:r>
      <w:r w:rsidR="00F41AAF" w:rsidRPr="00E0621F">
        <w:rPr>
          <w:rFonts w:ascii="Palatino Linotype" w:hAnsi="Palatino Linotype" w:cs="Tahoma"/>
          <w:sz w:val="20"/>
          <w:szCs w:val="20"/>
        </w:rPr>
        <w:t xml:space="preserve"> Por tal motivo, la conclusión fue sobreseer el Recurso de Revisión, por quedar sin materia.</w:t>
      </w:r>
    </w:p>
    <w:p w14:paraId="2CEF1CC1" w14:textId="77777777" w:rsidR="00E56D91" w:rsidRPr="00E0621F" w:rsidRDefault="00E56D91" w:rsidP="003E102C">
      <w:pPr>
        <w:spacing w:after="0" w:line="360" w:lineRule="auto"/>
        <w:jc w:val="both"/>
        <w:rPr>
          <w:rFonts w:ascii="Palatino Linotype" w:hAnsi="Palatino Linotype" w:cs="Tahoma"/>
          <w:sz w:val="20"/>
          <w:szCs w:val="20"/>
        </w:rPr>
      </w:pPr>
    </w:p>
    <w:p w14:paraId="6C2EED74" w14:textId="265E5870" w:rsidR="000F665B" w:rsidRPr="00E0621F" w:rsidRDefault="000F665B"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En este sentido y toda vez que </w:t>
      </w:r>
      <w:r w:rsidR="00E56D91" w:rsidRPr="00E0621F">
        <w:rPr>
          <w:rFonts w:ascii="Palatino Linotype" w:hAnsi="Palatino Linotype" w:cs="Tahoma"/>
          <w:sz w:val="20"/>
          <w:szCs w:val="20"/>
        </w:rPr>
        <w:t xml:space="preserve">dichos formatos serán </w:t>
      </w:r>
      <w:r w:rsidR="00412131">
        <w:rPr>
          <w:rFonts w:ascii="Palatino Linotype" w:hAnsi="Palatino Linotype" w:cs="Tahoma"/>
          <w:sz w:val="20"/>
          <w:szCs w:val="20"/>
        </w:rPr>
        <w:t xml:space="preserve">utilizados por los servidores públicos </w:t>
      </w:r>
      <w:r w:rsidR="00E56D91" w:rsidRPr="00E0621F">
        <w:rPr>
          <w:rFonts w:ascii="Palatino Linotype" w:hAnsi="Palatino Linotype" w:cs="Tahoma"/>
          <w:sz w:val="20"/>
          <w:szCs w:val="20"/>
        </w:rPr>
        <w:t xml:space="preserve">para realizar declaraciones patrimoniales </w:t>
      </w:r>
      <w:r w:rsidR="003C5D30" w:rsidRPr="00E0621F">
        <w:rPr>
          <w:rFonts w:ascii="Palatino Linotype" w:hAnsi="Palatino Linotype" w:cs="Tahoma"/>
          <w:sz w:val="20"/>
          <w:szCs w:val="20"/>
        </w:rPr>
        <w:t xml:space="preserve">generadas a partir </w:t>
      </w:r>
      <w:r w:rsidR="00412131">
        <w:rPr>
          <w:rFonts w:ascii="Palatino Linotype" w:hAnsi="Palatino Linotype" w:cs="Tahoma"/>
          <w:sz w:val="20"/>
          <w:szCs w:val="20"/>
        </w:rPr>
        <w:t>del mes de abril de dos mil diecinueve</w:t>
      </w:r>
      <w:r w:rsidR="003C5D30" w:rsidRPr="00E0621F">
        <w:rPr>
          <w:rFonts w:ascii="Palatino Linotype" w:hAnsi="Palatino Linotype" w:cs="Tahoma"/>
          <w:sz w:val="20"/>
          <w:szCs w:val="20"/>
        </w:rPr>
        <w:t xml:space="preserve"> y</w:t>
      </w:r>
      <w:r w:rsidR="00412131">
        <w:rPr>
          <w:rFonts w:ascii="Palatino Linotype" w:hAnsi="Palatino Linotype" w:cs="Tahoma"/>
          <w:sz w:val="20"/>
          <w:szCs w:val="20"/>
        </w:rPr>
        <w:t>,</w:t>
      </w:r>
      <w:r w:rsidR="003C5D30" w:rsidRPr="00E0621F">
        <w:rPr>
          <w:rFonts w:ascii="Palatino Linotype" w:hAnsi="Palatino Linotype" w:cs="Tahoma"/>
          <w:sz w:val="20"/>
          <w:szCs w:val="20"/>
        </w:rPr>
        <w:t xml:space="preserve"> </w:t>
      </w:r>
      <w:r w:rsidRPr="00E0621F">
        <w:rPr>
          <w:rFonts w:ascii="Palatino Linotype" w:hAnsi="Palatino Linotype" w:cs="Tahoma"/>
          <w:sz w:val="20"/>
          <w:szCs w:val="20"/>
        </w:rPr>
        <w:t xml:space="preserve">que </w:t>
      </w:r>
      <w:r w:rsidR="003C5D30" w:rsidRPr="00E0621F">
        <w:rPr>
          <w:rFonts w:ascii="Palatino Linotype" w:hAnsi="Palatino Linotype" w:cs="Tahoma"/>
          <w:sz w:val="20"/>
          <w:szCs w:val="20"/>
        </w:rPr>
        <w:t xml:space="preserve">su aplicación </w:t>
      </w:r>
      <w:r w:rsidR="003F3DDA" w:rsidRPr="00E0621F">
        <w:rPr>
          <w:rFonts w:ascii="Palatino Linotype" w:hAnsi="Palatino Linotype" w:cs="Tahoma"/>
          <w:sz w:val="20"/>
          <w:szCs w:val="20"/>
        </w:rPr>
        <w:t xml:space="preserve">no </w:t>
      </w:r>
      <w:r w:rsidR="003C5D30" w:rsidRPr="00E0621F">
        <w:rPr>
          <w:rFonts w:ascii="Palatino Linotype" w:hAnsi="Palatino Linotype" w:cs="Tahoma"/>
          <w:sz w:val="20"/>
          <w:szCs w:val="20"/>
        </w:rPr>
        <w:t>es</w:t>
      </w:r>
      <w:r w:rsidR="00D71D0E" w:rsidRPr="00E0621F">
        <w:rPr>
          <w:rFonts w:ascii="Palatino Linotype" w:hAnsi="Palatino Linotype" w:cs="Tahoma"/>
          <w:sz w:val="20"/>
          <w:szCs w:val="20"/>
        </w:rPr>
        <w:t xml:space="preserve"> retroactiva</w:t>
      </w:r>
      <w:r w:rsidRPr="00E0621F">
        <w:rPr>
          <w:rFonts w:ascii="Palatino Linotype" w:hAnsi="Palatino Linotype" w:cs="Tahoma"/>
          <w:sz w:val="20"/>
          <w:szCs w:val="20"/>
        </w:rPr>
        <w:t>, considero que el análisis de la Resolución</w:t>
      </w:r>
      <w:r w:rsidR="00412131">
        <w:rPr>
          <w:rFonts w:ascii="Palatino Linotype" w:hAnsi="Palatino Linotype" w:cs="Tahoma"/>
          <w:sz w:val="20"/>
          <w:szCs w:val="20"/>
        </w:rPr>
        <w:t xml:space="preserve"> que nos ocupa,</w:t>
      </w:r>
      <w:r w:rsidRPr="00E0621F">
        <w:rPr>
          <w:rFonts w:ascii="Palatino Linotype" w:hAnsi="Palatino Linotype" w:cs="Tahoma"/>
          <w:sz w:val="20"/>
          <w:szCs w:val="20"/>
        </w:rPr>
        <w:t xml:space="preserve"> no debió llevarse a cabo bajo las disposiciones antes referidas</w:t>
      </w:r>
      <w:r w:rsidR="00412131">
        <w:rPr>
          <w:rFonts w:ascii="Palatino Linotype" w:hAnsi="Palatino Linotype" w:cs="Tahoma"/>
          <w:sz w:val="20"/>
          <w:szCs w:val="20"/>
        </w:rPr>
        <w:t xml:space="preserve"> al no corresponder al periodo solicitado</w:t>
      </w:r>
      <w:r w:rsidR="003C5D30" w:rsidRPr="00E0621F">
        <w:rPr>
          <w:rFonts w:ascii="Palatino Linotype" w:hAnsi="Palatino Linotype" w:cs="Tahoma"/>
          <w:sz w:val="20"/>
          <w:szCs w:val="20"/>
        </w:rPr>
        <w:t xml:space="preserve">; en efecto, el Recurrente </w:t>
      </w:r>
      <w:r w:rsidR="00412131">
        <w:rPr>
          <w:rFonts w:ascii="Palatino Linotype" w:hAnsi="Palatino Linotype" w:cs="Tahoma"/>
          <w:sz w:val="20"/>
          <w:szCs w:val="20"/>
        </w:rPr>
        <w:t>requirió</w:t>
      </w:r>
      <w:r w:rsidR="003C5D30" w:rsidRPr="00E0621F">
        <w:rPr>
          <w:rFonts w:ascii="Palatino Linotype" w:hAnsi="Palatino Linotype" w:cs="Tahoma"/>
          <w:sz w:val="20"/>
          <w:szCs w:val="20"/>
        </w:rPr>
        <w:t xml:space="preserve"> la información </w:t>
      </w:r>
      <w:r w:rsidRPr="00E0621F">
        <w:rPr>
          <w:rFonts w:ascii="Palatino Linotype" w:hAnsi="Palatino Linotype" w:cs="Tahoma"/>
          <w:sz w:val="20"/>
          <w:szCs w:val="20"/>
        </w:rPr>
        <w:t>a partir d</w:t>
      </w:r>
      <w:r w:rsidR="00D71D0E" w:rsidRPr="00E0621F">
        <w:rPr>
          <w:rFonts w:ascii="Palatino Linotype" w:hAnsi="Palatino Linotype" w:cs="Tahoma"/>
          <w:sz w:val="20"/>
          <w:szCs w:val="20"/>
        </w:rPr>
        <w:t>el año mil novecientos noventa</w:t>
      </w:r>
      <w:r w:rsidRPr="00E0621F">
        <w:rPr>
          <w:rFonts w:ascii="Palatino Linotype" w:hAnsi="Palatino Linotype" w:cs="Tahoma"/>
          <w:sz w:val="20"/>
          <w:szCs w:val="20"/>
        </w:rPr>
        <w:t>;</w:t>
      </w:r>
      <w:r w:rsidR="00D71D0E" w:rsidRPr="00E0621F">
        <w:rPr>
          <w:rFonts w:ascii="Palatino Linotype" w:hAnsi="Palatino Linotype" w:cs="Tahoma"/>
          <w:sz w:val="20"/>
          <w:szCs w:val="20"/>
        </w:rPr>
        <w:t xml:space="preserve"> </w:t>
      </w:r>
      <w:r w:rsidR="003F3DDA" w:rsidRPr="00E0621F">
        <w:rPr>
          <w:rFonts w:ascii="Palatino Linotype" w:hAnsi="Palatino Linotype" w:cs="Tahoma"/>
          <w:sz w:val="20"/>
          <w:szCs w:val="20"/>
        </w:rPr>
        <w:t xml:space="preserve">es decir las ya realizadas por </w:t>
      </w:r>
      <w:r w:rsidRPr="00E0621F">
        <w:rPr>
          <w:rFonts w:ascii="Palatino Linotype" w:hAnsi="Palatino Linotype" w:cs="Tahoma"/>
          <w:sz w:val="20"/>
          <w:szCs w:val="20"/>
        </w:rPr>
        <w:t>la</w:t>
      </w:r>
      <w:r w:rsidR="003F3DDA" w:rsidRPr="00E0621F">
        <w:rPr>
          <w:rFonts w:ascii="Palatino Linotype" w:hAnsi="Palatino Linotype" w:cs="Tahoma"/>
          <w:sz w:val="20"/>
          <w:szCs w:val="20"/>
        </w:rPr>
        <w:t xml:space="preserve"> Servidor</w:t>
      </w:r>
      <w:r w:rsidRPr="00E0621F">
        <w:rPr>
          <w:rFonts w:ascii="Palatino Linotype" w:hAnsi="Palatino Linotype" w:cs="Tahoma"/>
          <w:sz w:val="20"/>
          <w:szCs w:val="20"/>
        </w:rPr>
        <w:t>a</w:t>
      </w:r>
      <w:r w:rsidR="003F3DDA" w:rsidRPr="00E0621F">
        <w:rPr>
          <w:rFonts w:ascii="Palatino Linotype" w:hAnsi="Palatino Linotype" w:cs="Tahoma"/>
          <w:sz w:val="20"/>
          <w:szCs w:val="20"/>
        </w:rPr>
        <w:t xml:space="preserve"> </w:t>
      </w:r>
      <w:r w:rsidRPr="00E0621F">
        <w:rPr>
          <w:rFonts w:ascii="Palatino Linotype" w:hAnsi="Palatino Linotype" w:cs="Tahoma"/>
          <w:sz w:val="20"/>
          <w:szCs w:val="20"/>
        </w:rPr>
        <w:t>Pública, que de ser el caso</w:t>
      </w:r>
      <w:r w:rsidR="00E60921">
        <w:rPr>
          <w:rFonts w:ascii="Palatino Linotype" w:hAnsi="Palatino Linotype" w:cs="Tahoma"/>
          <w:sz w:val="20"/>
          <w:szCs w:val="20"/>
        </w:rPr>
        <w:t>,</w:t>
      </w:r>
      <w:r w:rsidR="00412131">
        <w:rPr>
          <w:rFonts w:ascii="Palatino Linotype" w:hAnsi="Palatino Linotype" w:cs="Tahoma"/>
          <w:sz w:val="20"/>
          <w:szCs w:val="20"/>
        </w:rPr>
        <w:t xml:space="preserve"> haya</w:t>
      </w:r>
      <w:r w:rsidRPr="00E0621F">
        <w:rPr>
          <w:rFonts w:ascii="Palatino Linotype" w:hAnsi="Palatino Linotype" w:cs="Tahoma"/>
          <w:sz w:val="20"/>
          <w:szCs w:val="20"/>
        </w:rPr>
        <w:t xml:space="preserve"> p</w:t>
      </w:r>
      <w:r w:rsidR="003C5D30" w:rsidRPr="00E0621F">
        <w:rPr>
          <w:rFonts w:ascii="Palatino Linotype" w:hAnsi="Palatino Linotype" w:cs="Tahoma"/>
          <w:sz w:val="20"/>
          <w:szCs w:val="20"/>
        </w:rPr>
        <w:t>resent</w:t>
      </w:r>
      <w:r w:rsidR="00412131">
        <w:rPr>
          <w:rFonts w:ascii="Palatino Linotype" w:hAnsi="Palatino Linotype" w:cs="Tahoma"/>
          <w:sz w:val="20"/>
          <w:szCs w:val="20"/>
        </w:rPr>
        <w:t>ado desde la fecha indicada, por lo anterior, lo adecuado era analizar la obligación de presentar las</w:t>
      </w:r>
      <w:r w:rsidR="003F3DDA" w:rsidRPr="00E0621F">
        <w:rPr>
          <w:rFonts w:ascii="Palatino Linotype" w:hAnsi="Palatino Linotype" w:cs="Tahoma"/>
          <w:sz w:val="20"/>
          <w:szCs w:val="20"/>
        </w:rPr>
        <w:t xml:space="preserve"> </w:t>
      </w:r>
      <w:r w:rsidR="003C5D30" w:rsidRPr="00E0621F">
        <w:rPr>
          <w:rFonts w:ascii="Palatino Linotype" w:hAnsi="Palatino Linotype" w:cs="Tahoma"/>
          <w:sz w:val="20"/>
          <w:szCs w:val="20"/>
        </w:rPr>
        <w:t xml:space="preserve">Manifestación </w:t>
      </w:r>
      <w:r w:rsidR="003F3DDA" w:rsidRPr="00E0621F">
        <w:rPr>
          <w:rFonts w:ascii="Palatino Linotype" w:hAnsi="Palatino Linotype" w:cs="Tahoma"/>
          <w:sz w:val="20"/>
          <w:szCs w:val="20"/>
        </w:rPr>
        <w:t xml:space="preserve">de </w:t>
      </w:r>
      <w:r w:rsidR="003C5D30" w:rsidRPr="00E0621F">
        <w:rPr>
          <w:rFonts w:ascii="Palatino Linotype" w:hAnsi="Palatino Linotype" w:cs="Tahoma"/>
          <w:sz w:val="20"/>
          <w:szCs w:val="20"/>
        </w:rPr>
        <w:t>B</w:t>
      </w:r>
      <w:r w:rsidR="003F3DDA" w:rsidRPr="00E0621F">
        <w:rPr>
          <w:rFonts w:ascii="Palatino Linotype" w:hAnsi="Palatino Linotype" w:cs="Tahoma"/>
          <w:sz w:val="20"/>
          <w:szCs w:val="20"/>
        </w:rPr>
        <w:t>ienes</w:t>
      </w:r>
      <w:r w:rsidR="00D71D0E" w:rsidRPr="00E0621F">
        <w:rPr>
          <w:rFonts w:ascii="Palatino Linotype" w:hAnsi="Palatino Linotype" w:cs="Tahoma"/>
          <w:sz w:val="20"/>
          <w:szCs w:val="20"/>
        </w:rPr>
        <w:t>,</w:t>
      </w:r>
      <w:r w:rsidR="003F3DDA" w:rsidRPr="00E0621F">
        <w:rPr>
          <w:rFonts w:ascii="Palatino Linotype" w:hAnsi="Palatino Linotype" w:cs="Tahoma"/>
          <w:sz w:val="20"/>
          <w:szCs w:val="20"/>
        </w:rPr>
        <w:t xml:space="preserve"> </w:t>
      </w:r>
      <w:r w:rsidRPr="00E0621F">
        <w:rPr>
          <w:rFonts w:ascii="Palatino Linotype" w:hAnsi="Palatino Linotype" w:cs="Tahoma"/>
          <w:sz w:val="20"/>
          <w:szCs w:val="20"/>
        </w:rPr>
        <w:t xml:space="preserve">con base en la Ley de Responsabilidades de los Servidores Públicos del Estado y Municipios, publicada en el Periódico Oficial “Gaceta del Gobierno” el </w:t>
      </w:r>
      <w:r w:rsidR="00E60921">
        <w:rPr>
          <w:rFonts w:ascii="Palatino Linotype" w:hAnsi="Palatino Linotype" w:cs="Tahoma"/>
          <w:sz w:val="20"/>
          <w:szCs w:val="20"/>
        </w:rPr>
        <w:t>once de septiembre de mil novecientos noventa y abrogada el treinta de mayo de dos mil diecisiete</w:t>
      </w:r>
      <w:r w:rsidR="0022094A" w:rsidRPr="00E0621F">
        <w:rPr>
          <w:rFonts w:ascii="Palatino Linotype" w:hAnsi="Palatino Linotype" w:cs="Tahoma"/>
          <w:sz w:val="20"/>
          <w:szCs w:val="20"/>
        </w:rPr>
        <w:t>.</w:t>
      </w:r>
    </w:p>
    <w:p w14:paraId="38F065CA" w14:textId="77777777" w:rsidR="00551A62" w:rsidRPr="00E0621F" w:rsidRDefault="00551A62" w:rsidP="003E102C">
      <w:pPr>
        <w:spacing w:after="0" w:line="360" w:lineRule="auto"/>
        <w:jc w:val="both"/>
        <w:rPr>
          <w:rFonts w:ascii="Palatino Linotype" w:hAnsi="Palatino Linotype" w:cs="Tahoma"/>
          <w:sz w:val="20"/>
          <w:szCs w:val="20"/>
        </w:rPr>
      </w:pPr>
    </w:p>
    <w:p w14:paraId="5FDCD829" w14:textId="0C739A01" w:rsidR="0022094A" w:rsidRPr="00E0621F" w:rsidRDefault="0022094A"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lastRenderedPageBreak/>
        <w:t>Bajo este orden de ideas, con base en el artículo 92, fracción XIII, de la Ley de Transparencia y Acceso a la Información Pública del Estado de México y Municipios, la versión púb</w:t>
      </w:r>
      <w:r w:rsidR="00551A62">
        <w:rPr>
          <w:rFonts w:ascii="Palatino Linotype" w:hAnsi="Palatino Linotype" w:cs="Tahoma"/>
          <w:sz w:val="20"/>
          <w:szCs w:val="20"/>
        </w:rPr>
        <w:t>l</w:t>
      </w:r>
      <w:r w:rsidRPr="00E0621F">
        <w:rPr>
          <w:rFonts w:ascii="Palatino Linotype" w:hAnsi="Palatino Linotype" w:cs="Tahoma"/>
          <w:sz w:val="20"/>
          <w:szCs w:val="20"/>
        </w:rPr>
        <w:t xml:space="preserve">ica de las declaraciones patrimoniales o también llamadas manifestación de bienes y las declaraciones de intereses, corresponden a las obligaciones de transparencia </w:t>
      </w:r>
      <w:r w:rsidRPr="00E0621F">
        <w:rPr>
          <w:rFonts w:ascii="Palatino Linotype" w:hAnsi="Palatino Linotype" w:cs="Tahoma"/>
          <w:b/>
          <w:sz w:val="20"/>
          <w:szCs w:val="20"/>
        </w:rPr>
        <w:t>de los servidores públicos que así lo determinen, de acuerdo con la normatividad aplicable</w:t>
      </w:r>
      <w:r w:rsidR="00412131">
        <w:rPr>
          <w:rFonts w:ascii="Palatino Linotype" w:hAnsi="Palatino Linotype" w:cs="Tahoma"/>
          <w:b/>
          <w:sz w:val="20"/>
          <w:szCs w:val="20"/>
        </w:rPr>
        <w:t xml:space="preserve">, </w:t>
      </w:r>
      <w:r w:rsidR="00412131">
        <w:rPr>
          <w:rFonts w:ascii="Palatino Linotype" w:hAnsi="Palatino Linotype" w:cs="Tahoma"/>
          <w:sz w:val="20"/>
          <w:szCs w:val="20"/>
        </w:rPr>
        <w:t>que para el caso en análisis</w:t>
      </w:r>
      <w:r w:rsidR="00551A62">
        <w:rPr>
          <w:rFonts w:ascii="Palatino Linotype" w:hAnsi="Palatino Linotype" w:cs="Tahoma"/>
          <w:sz w:val="20"/>
          <w:szCs w:val="20"/>
        </w:rPr>
        <w:t>,</w:t>
      </w:r>
      <w:r w:rsidR="00412131">
        <w:rPr>
          <w:rFonts w:ascii="Palatino Linotype" w:hAnsi="Palatino Linotype" w:cs="Tahoma"/>
          <w:sz w:val="20"/>
          <w:szCs w:val="20"/>
        </w:rPr>
        <w:t xml:space="preserve"> es la última abrogada en materia de responsabilidades.</w:t>
      </w:r>
    </w:p>
    <w:p w14:paraId="365D88F1" w14:textId="77777777" w:rsidR="0022094A" w:rsidRPr="00E0621F" w:rsidRDefault="0022094A" w:rsidP="003E102C">
      <w:pPr>
        <w:spacing w:after="0" w:line="360" w:lineRule="auto"/>
        <w:jc w:val="both"/>
        <w:rPr>
          <w:rFonts w:ascii="Palatino Linotype" w:hAnsi="Palatino Linotype" w:cs="Tahoma"/>
          <w:b/>
          <w:sz w:val="20"/>
          <w:szCs w:val="20"/>
        </w:rPr>
      </w:pPr>
    </w:p>
    <w:p w14:paraId="3D5B5C8B" w14:textId="1DD353A4" w:rsidR="0022094A" w:rsidRPr="00E0621F" w:rsidRDefault="0022094A"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Acorde con lo anterior, </w:t>
      </w:r>
      <w:r w:rsidR="00551A62">
        <w:rPr>
          <w:rFonts w:ascii="Palatino Linotype" w:hAnsi="Palatino Linotype" w:cs="Tahoma"/>
          <w:sz w:val="20"/>
          <w:szCs w:val="20"/>
        </w:rPr>
        <w:t>se debió instruir la</w:t>
      </w:r>
      <w:r w:rsidRPr="00E0621F">
        <w:rPr>
          <w:rFonts w:ascii="Palatino Linotype" w:hAnsi="Palatino Linotype" w:cs="Tahoma"/>
          <w:sz w:val="20"/>
          <w:szCs w:val="20"/>
        </w:rPr>
        <w:t xml:space="preserve"> entrega </w:t>
      </w:r>
      <w:r w:rsidR="00551A62">
        <w:rPr>
          <w:rFonts w:ascii="Palatino Linotype" w:hAnsi="Palatino Linotype" w:cs="Tahoma"/>
          <w:sz w:val="20"/>
          <w:szCs w:val="20"/>
        </w:rPr>
        <w:t>d</w:t>
      </w:r>
      <w:r w:rsidRPr="00E0621F">
        <w:rPr>
          <w:rFonts w:ascii="Palatino Linotype" w:hAnsi="Palatino Linotype" w:cs="Tahoma"/>
          <w:sz w:val="20"/>
          <w:szCs w:val="20"/>
        </w:rPr>
        <w:t xml:space="preserve">el acuerdo de clasificación </w:t>
      </w:r>
      <w:r w:rsidR="00551A62">
        <w:rPr>
          <w:rFonts w:ascii="Palatino Linotype" w:hAnsi="Palatino Linotype" w:cs="Tahoma"/>
          <w:sz w:val="20"/>
          <w:szCs w:val="20"/>
        </w:rPr>
        <w:t>d</w:t>
      </w:r>
      <w:r w:rsidRPr="00E0621F">
        <w:rPr>
          <w:rFonts w:ascii="Palatino Linotype" w:hAnsi="Palatino Linotype" w:cs="Tahoma"/>
          <w:sz w:val="20"/>
          <w:szCs w:val="20"/>
        </w:rPr>
        <w:t xml:space="preserve">el Comité de Transparencia, </w:t>
      </w:r>
      <w:r w:rsidR="00551A62">
        <w:rPr>
          <w:rFonts w:ascii="Palatino Linotype" w:hAnsi="Palatino Linotype" w:cs="Tahoma"/>
          <w:sz w:val="20"/>
          <w:szCs w:val="20"/>
        </w:rPr>
        <w:t xml:space="preserve">emitido, </w:t>
      </w:r>
      <w:r w:rsidRPr="00E0621F">
        <w:rPr>
          <w:rFonts w:ascii="Palatino Linotype" w:hAnsi="Palatino Linotype" w:cs="Tahoma"/>
          <w:sz w:val="20"/>
          <w:szCs w:val="20"/>
        </w:rPr>
        <w:t>ya sea en términos del artículo 13</w:t>
      </w:r>
      <w:r w:rsidR="0026764C">
        <w:rPr>
          <w:rFonts w:ascii="Palatino Linotype" w:hAnsi="Palatino Linotype" w:cs="Tahoma"/>
          <w:sz w:val="20"/>
          <w:szCs w:val="20"/>
        </w:rPr>
        <w:t>2</w:t>
      </w:r>
      <w:r w:rsidRPr="00E0621F">
        <w:rPr>
          <w:rFonts w:ascii="Palatino Linotype" w:hAnsi="Palatino Linotype" w:cs="Tahoma"/>
          <w:sz w:val="20"/>
          <w:szCs w:val="20"/>
        </w:rPr>
        <w:t xml:space="preserve"> de la Ley de Transparencia y Acceso a la Información Pública</w:t>
      </w:r>
      <w:r w:rsidR="0026764C">
        <w:rPr>
          <w:rFonts w:ascii="Palatino Linotype" w:hAnsi="Palatino Linotype" w:cs="Tahoma"/>
          <w:sz w:val="20"/>
          <w:szCs w:val="20"/>
        </w:rPr>
        <w:t xml:space="preserve"> del Estado de México y Municipios</w:t>
      </w:r>
      <w:r w:rsidRPr="00E0621F">
        <w:rPr>
          <w:rFonts w:ascii="Palatino Linotype" w:hAnsi="Palatino Linotype" w:cs="Tahoma"/>
          <w:sz w:val="20"/>
          <w:szCs w:val="20"/>
        </w:rPr>
        <w:t xml:space="preserve"> o, de conformidad con el artículo 35, párrafo segundo de la Ley de Protección de Datos Personales en Posesión de los Sujetos Obligados del Estado de México y Municipios.</w:t>
      </w:r>
    </w:p>
    <w:p w14:paraId="74FA15E9" w14:textId="77777777" w:rsidR="000F665B" w:rsidRPr="00E0621F" w:rsidRDefault="000F665B" w:rsidP="003E102C">
      <w:pPr>
        <w:spacing w:after="0" w:line="360" w:lineRule="auto"/>
        <w:jc w:val="both"/>
        <w:rPr>
          <w:rFonts w:ascii="Palatino Linotype" w:hAnsi="Palatino Linotype" w:cs="Tahoma"/>
          <w:sz w:val="20"/>
          <w:szCs w:val="20"/>
        </w:rPr>
      </w:pPr>
    </w:p>
    <w:p w14:paraId="7BA4B2CB" w14:textId="77777777" w:rsidR="009E0861" w:rsidRPr="00E0621F" w:rsidRDefault="009E0861" w:rsidP="003E102C">
      <w:pPr>
        <w:spacing w:after="0" w:line="360" w:lineRule="auto"/>
        <w:jc w:val="both"/>
        <w:rPr>
          <w:rFonts w:ascii="Palatino Linotype" w:hAnsi="Palatino Linotype" w:cs="Tahoma"/>
          <w:sz w:val="20"/>
          <w:szCs w:val="20"/>
        </w:rPr>
      </w:pPr>
      <w:r w:rsidRPr="00E0621F">
        <w:rPr>
          <w:rFonts w:ascii="Palatino Linotype" w:hAnsi="Palatino Linotype" w:cs="Tahoma"/>
          <w:sz w:val="20"/>
          <w:szCs w:val="20"/>
        </w:rPr>
        <w:t xml:space="preserve">Así, con base en los razonamientos expuestos, </w:t>
      </w:r>
      <w:r w:rsidRPr="00E0621F">
        <w:rPr>
          <w:rFonts w:ascii="Palatino Linotype" w:hAnsi="Palatino Linotype" w:cs="Tahoma"/>
          <w:b/>
          <w:sz w:val="20"/>
          <w:szCs w:val="20"/>
        </w:rPr>
        <w:t>se emite el presente Voto Particular</w:t>
      </w:r>
      <w:r w:rsidRPr="00E0621F">
        <w:rPr>
          <w:rFonts w:ascii="Palatino Linotype" w:hAnsi="Palatino Linotype" w:cs="Tahoma"/>
          <w:sz w:val="20"/>
          <w:szCs w:val="20"/>
        </w:rPr>
        <w:t>.</w:t>
      </w:r>
    </w:p>
    <w:p w14:paraId="786BFECB" w14:textId="77777777" w:rsidR="00553ADE" w:rsidRPr="00E0621F" w:rsidRDefault="00553ADE" w:rsidP="003E102C">
      <w:pPr>
        <w:spacing w:after="0" w:line="360" w:lineRule="auto"/>
        <w:jc w:val="center"/>
        <w:rPr>
          <w:rFonts w:ascii="Palatino Linotype" w:hAnsi="Palatino Linotype" w:cs="Tahoma"/>
          <w:sz w:val="20"/>
          <w:szCs w:val="20"/>
        </w:rPr>
      </w:pPr>
    </w:p>
    <w:p w14:paraId="026751F3" w14:textId="77777777" w:rsidR="00E0621F" w:rsidRDefault="00E0621F" w:rsidP="003E102C">
      <w:pPr>
        <w:spacing w:after="0" w:line="360" w:lineRule="auto"/>
        <w:jc w:val="center"/>
        <w:rPr>
          <w:rFonts w:ascii="Palatino Linotype" w:hAnsi="Palatino Linotype" w:cs="Tahoma"/>
          <w:b/>
          <w:sz w:val="20"/>
          <w:szCs w:val="20"/>
        </w:rPr>
      </w:pPr>
    </w:p>
    <w:p w14:paraId="6202145C" w14:textId="77777777" w:rsidR="00553ADE" w:rsidRPr="00E0621F" w:rsidRDefault="00553ADE" w:rsidP="003E102C">
      <w:pPr>
        <w:spacing w:after="0" w:line="360" w:lineRule="auto"/>
        <w:jc w:val="center"/>
        <w:rPr>
          <w:rFonts w:ascii="Palatino Linotype" w:hAnsi="Palatino Linotype" w:cs="Tahoma"/>
          <w:b/>
          <w:sz w:val="20"/>
          <w:szCs w:val="20"/>
        </w:rPr>
      </w:pPr>
      <w:r w:rsidRPr="00E0621F">
        <w:rPr>
          <w:rFonts w:ascii="Palatino Linotype" w:hAnsi="Palatino Linotype" w:cs="Tahoma"/>
          <w:b/>
          <w:sz w:val="20"/>
          <w:szCs w:val="20"/>
        </w:rPr>
        <w:t>Luis Gustavo Parra Noriega</w:t>
      </w:r>
    </w:p>
    <w:p w14:paraId="04D3F7E6" w14:textId="77777777" w:rsidR="00553ADE" w:rsidRPr="00E0621F" w:rsidRDefault="00553ADE" w:rsidP="003E102C">
      <w:pPr>
        <w:spacing w:after="0" w:line="360" w:lineRule="auto"/>
        <w:jc w:val="center"/>
        <w:rPr>
          <w:rFonts w:ascii="Palatino Linotype" w:hAnsi="Palatino Linotype" w:cs="Tahoma"/>
          <w:sz w:val="20"/>
          <w:szCs w:val="20"/>
        </w:rPr>
      </w:pPr>
      <w:r w:rsidRPr="00E0621F">
        <w:rPr>
          <w:rFonts w:ascii="Palatino Linotype" w:hAnsi="Palatino Linotype" w:cs="Tahoma"/>
          <w:sz w:val="20"/>
          <w:szCs w:val="20"/>
        </w:rPr>
        <w:t>Comisionado</w:t>
      </w:r>
    </w:p>
    <w:p w14:paraId="5FDEB86A" w14:textId="77777777" w:rsidR="00E0621F" w:rsidRPr="00E0621F" w:rsidRDefault="00E0621F" w:rsidP="00E0621F">
      <w:pPr>
        <w:spacing w:after="0" w:line="360" w:lineRule="auto"/>
        <w:jc w:val="center"/>
        <w:rPr>
          <w:rFonts w:ascii="Palatino Linotype" w:hAnsi="Palatino Linotype" w:cs="Tahoma"/>
          <w:b/>
          <w:sz w:val="20"/>
          <w:szCs w:val="20"/>
        </w:rPr>
      </w:pPr>
      <w:r w:rsidRPr="00E0621F">
        <w:rPr>
          <w:rFonts w:ascii="Palatino Linotype" w:hAnsi="Palatino Linotype" w:cs="Tahoma"/>
          <w:b/>
          <w:sz w:val="20"/>
          <w:szCs w:val="20"/>
        </w:rPr>
        <w:t>(Rúbrica)</w:t>
      </w:r>
      <w:bookmarkStart w:id="0" w:name="_GoBack"/>
      <w:bookmarkEnd w:id="0"/>
    </w:p>
    <w:p w14:paraId="50BF8F06" w14:textId="77777777" w:rsidR="00E0621F" w:rsidRPr="00E0621F" w:rsidRDefault="00E0621F" w:rsidP="003E102C">
      <w:pPr>
        <w:spacing w:after="0" w:line="360" w:lineRule="auto"/>
        <w:jc w:val="center"/>
        <w:rPr>
          <w:rFonts w:ascii="Palatino Linotype" w:hAnsi="Palatino Linotype" w:cs="Tahoma"/>
          <w:b/>
          <w:sz w:val="20"/>
          <w:szCs w:val="20"/>
        </w:rPr>
      </w:pPr>
    </w:p>
    <w:sectPr w:rsidR="00E0621F" w:rsidRPr="00E0621F"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F3195" w14:textId="77777777" w:rsidR="00096817" w:rsidRDefault="00096817" w:rsidP="00EE29F6">
      <w:pPr>
        <w:spacing w:after="0" w:line="240" w:lineRule="auto"/>
      </w:pPr>
      <w:r>
        <w:separator/>
      </w:r>
    </w:p>
  </w:endnote>
  <w:endnote w:type="continuationSeparator" w:id="0">
    <w:p w14:paraId="2483F545" w14:textId="77777777" w:rsidR="00096817" w:rsidRDefault="0009681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14:paraId="5A866A75" w14:textId="77777777"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0621F">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0621F">
              <w:rPr>
                <w:b/>
                <w:bCs/>
                <w:noProof/>
              </w:rPr>
              <w:t>3</w:t>
            </w:r>
            <w:r>
              <w:rPr>
                <w:b/>
                <w:bCs/>
                <w:sz w:val="24"/>
                <w:szCs w:val="24"/>
              </w:rPr>
              <w:fldChar w:fldCharType="end"/>
            </w:r>
          </w:p>
        </w:sdtContent>
      </w:sdt>
    </w:sdtContent>
  </w:sdt>
  <w:p w14:paraId="71AEF593" w14:textId="77777777"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E79B2" w14:textId="77777777" w:rsidR="00096817" w:rsidRDefault="00096817" w:rsidP="00EE29F6">
      <w:pPr>
        <w:spacing w:after="0" w:line="240" w:lineRule="auto"/>
      </w:pPr>
      <w:r>
        <w:separator/>
      </w:r>
    </w:p>
  </w:footnote>
  <w:footnote w:type="continuationSeparator" w:id="0">
    <w:p w14:paraId="1756CC6F" w14:textId="77777777" w:rsidR="00096817" w:rsidRDefault="0009681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520"/>
    </w:tblGrid>
    <w:tr w:rsidR="0077694E" w:rsidRPr="003E102C" w14:paraId="656534B1" w14:textId="77777777" w:rsidTr="009D6B09">
      <w:trPr>
        <w:trHeight w:val="2280"/>
      </w:trPr>
      <w:tc>
        <w:tcPr>
          <w:tcW w:w="2694" w:type="dxa"/>
          <w:vAlign w:val="bottom"/>
        </w:tcPr>
        <w:p w14:paraId="39FA0DB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7C147FF4" wp14:editId="397DA169">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8EC073B" w14:textId="77777777" w:rsidR="0077694E" w:rsidRDefault="0077694E" w:rsidP="0077694E">
          <w:pPr>
            <w:pStyle w:val="Encabezado"/>
            <w:tabs>
              <w:tab w:val="clear" w:pos="4252"/>
              <w:tab w:val="center" w:pos="2614"/>
            </w:tabs>
          </w:pPr>
        </w:p>
      </w:tc>
      <w:tc>
        <w:tcPr>
          <w:tcW w:w="6520" w:type="dxa"/>
          <w:vAlign w:val="center"/>
        </w:tcPr>
        <w:p w14:paraId="21DE4AA9" w14:textId="77777777" w:rsidR="001106EA" w:rsidRPr="003E102C" w:rsidRDefault="001106EA" w:rsidP="001106EA">
          <w:pPr>
            <w:pStyle w:val="Encabezado"/>
            <w:ind w:left="-108" w:right="-250"/>
            <w:jc w:val="both"/>
            <w:rPr>
              <w:rFonts w:ascii="Palatino Linotype" w:hAnsi="Palatino Linotype" w:cs="Tahoma"/>
            </w:rPr>
          </w:pPr>
        </w:p>
        <w:p w14:paraId="67E30245" w14:textId="77777777" w:rsidR="001106EA" w:rsidRPr="008B1FF6" w:rsidRDefault="001106EA" w:rsidP="001106EA">
          <w:pPr>
            <w:pStyle w:val="Encabezado"/>
            <w:ind w:left="-108" w:right="-250"/>
            <w:jc w:val="both"/>
            <w:rPr>
              <w:rFonts w:ascii="Palatino Linotype" w:hAnsi="Palatino Linotype" w:cs="Tahoma"/>
              <w:b/>
              <w:sz w:val="20"/>
              <w:szCs w:val="20"/>
            </w:rPr>
          </w:pPr>
          <w:r w:rsidRPr="008B1FF6">
            <w:rPr>
              <w:rFonts w:ascii="Palatino Linotype" w:hAnsi="Palatino Linotype" w:cs="Tahoma"/>
              <w:b/>
              <w:sz w:val="20"/>
              <w:szCs w:val="20"/>
            </w:rPr>
            <w:t>Voto Particular</w:t>
          </w:r>
        </w:p>
        <w:p w14:paraId="0ADAF8D8" w14:textId="77777777" w:rsidR="009D6B09" w:rsidRPr="008B1FF6" w:rsidRDefault="00B027EB" w:rsidP="009D6B09">
          <w:pPr>
            <w:pStyle w:val="Encabezado"/>
            <w:ind w:left="-108" w:right="-250"/>
            <w:jc w:val="both"/>
            <w:rPr>
              <w:rFonts w:ascii="Palatino Linotype" w:hAnsi="Palatino Linotype" w:cs="Tahoma"/>
              <w:b/>
              <w:sz w:val="20"/>
              <w:szCs w:val="20"/>
            </w:rPr>
          </w:pPr>
          <w:r w:rsidRPr="008B1FF6">
            <w:rPr>
              <w:rFonts w:ascii="Palatino Linotype" w:hAnsi="Palatino Linotype" w:cs="Tahoma"/>
              <w:b/>
              <w:sz w:val="20"/>
              <w:szCs w:val="20"/>
            </w:rPr>
            <w:t>Recurso de Revisión: 0</w:t>
          </w:r>
          <w:r w:rsidR="009D6B09" w:rsidRPr="008B1FF6">
            <w:rPr>
              <w:rFonts w:ascii="Palatino Linotype" w:hAnsi="Palatino Linotype" w:cs="Tahoma"/>
              <w:b/>
              <w:sz w:val="20"/>
              <w:szCs w:val="20"/>
            </w:rPr>
            <w:t>4258</w:t>
          </w:r>
          <w:r w:rsidR="001106EA" w:rsidRPr="008B1FF6">
            <w:rPr>
              <w:rFonts w:ascii="Palatino Linotype" w:hAnsi="Palatino Linotype" w:cs="Tahoma"/>
              <w:b/>
              <w:sz w:val="20"/>
              <w:szCs w:val="20"/>
            </w:rPr>
            <w:t>/INFOEM/IP/RR/2018</w:t>
          </w:r>
        </w:p>
        <w:p w14:paraId="0D893FE7" w14:textId="77777777" w:rsidR="0077694E" w:rsidRPr="009D6B09" w:rsidRDefault="009D6B09" w:rsidP="008B1FF6">
          <w:pPr>
            <w:pStyle w:val="Encabezado"/>
            <w:ind w:left="-108" w:right="-250"/>
            <w:jc w:val="both"/>
            <w:rPr>
              <w:rFonts w:ascii="Palatino Linotype" w:hAnsi="Palatino Linotype" w:cs="Tahoma"/>
            </w:rPr>
          </w:pPr>
          <w:r w:rsidRPr="008B1FF6">
            <w:rPr>
              <w:rFonts w:ascii="Palatino Linotype" w:hAnsi="Palatino Linotype"/>
              <w:b/>
              <w:sz w:val="20"/>
              <w:szCs w:val="20"/>
            </w:rPr>
            <w:t>COMISIONADO PONENTE: José Guadalupe Luna Hernández</w:t>
          </w:r>
        </w:p>
      </w:tc>
    </w:tr>
  </w:tbl>
  <w:p w14:paraId="76A357D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07BE2"/>
    <w:rsid w:val="00020D08"/>
    <w:rsid w:val="0002759D"/>
    <w:rsid w:val="000301C6"/>
    <w:rsid w:val="00041BDE"/>
    <w:rsid w:val="00056C03"/>
    <w:rsid w:val="00060F74"/>
    <w:rsid w:val="0006561A"/>
    <w:rsid w:val="00087AC8"/>
    <w:rsid w:val="00096817"/>
    <w:rsid w:val="00097128"/>
    <w:rsid w:val="00097988"/>
    <w:rsid w:val="000A2BC4"/>
    <w:rsid w:val="000B235B"/>
    <w:rsid w:val="000B7F6F"/>
    <w:rsid w:val="000C10B7"/>
    <w:rsid w:val="000D186F"/>
    <w:rsid w:val="000F1EE9"/>
    <w:rsid w:val="000F633C"/>
    <w:rsid w:val="000F665B"/>
    <w:rsid w:val="00104390"/>
    <w:rsid w:val="0010688C"/>
    <w:rsid w:val="001106EA"/>
    <w:rsid w:val="001159DC"/>
    <w:rsid w:val="00116E1A"/>
    <w:rsid w:val="00136AD8"/>
    <w:rsid w:val="0014038B"/>
    <w:rsid w:val="00140A57"/>
    <w:rsid w:val="0014736A"/>
    <w:rsid w:val="0015423B"/>
    <w:rsid w:val="00162325"/>
    <w:rsid w:val="00164625"/>
    <w:rsid w:val="00164BFE"/>
    <w:rsid w:val="00180A43"/>
    <w:rsid w:val="0018472D"/>
    <w:rsid w:val="00185D75"/>
    <w:rsid w:val="00193AA8"/>
    <w:rsid w:val="00197A72"/>
    <w:rsid w:val="001A145C"/>
    <w:rsid w:val="001A6BD9"/>
    <w:rsid w:val="001C1C64"/>
    <w:rsid w:val="001C40BB"/>
    <w:rsid w:val="001D3A6E"/>
    <w:rsid w:val="0022094A"/>
    <w:rsid w:val="00231B68"/>
    <w:rsid w:val="00231EEC"/>
    <w:rsid w:val="002408C3"/>
    <w:rsid w:val="00243A13"/>
    <w:rsid w:val="00246FAF"/>
    <w:rsid w:val="0026764C"/>
    <w:rsid w:val="002705D2"/>
    <w:rsid w:val="0027670F"/>
    <w:rsid w:val="0028037C"/>
    <w:rsid w:val="002841C9"/>
    <w:rsid w:val="00295BA5"/>
    <w:rsid w:val="002A1727"/>
    <w:rsid w:val="002A2EE7"/>
    <w:rsid w:val="002C179C"/>
    <w:rsid w:val="002C2405"/>
    <w:rsid w:val="002C46A5"/>
    <w:rsid w:val="002D66E3"/>
    <w:rsid w:val="002D6B6B"/>
    <w:rsid w:val="002E5A1A"/>
    <w:rsid w:val="002E691C"/>
    <w:rsid w:val="00342CA2"/>
    <w:rsid w:val="003512C9"/>
    <w:rsid w:val="0036658A"/>
    <w:rsid w:val="00385CD2"/>
    <w:rsid w:val="00386920"/>
    <w:rsid w:val="003B6547"/>
    <w:rsid w:val="003B7A5E"/>
    <w:rsid w:val="003C5D30"/>
    <w:rsid w:val="003D18AE"/>
    <w:rsid w:val="003E102C"/>
    <w:rsid w:val="003F2426"/>
    <w:rsid w:val="003F3DDA"/>
    <w:rsid w:val="0040139C"/>
    <w:rsid w:val="00412131"/>
    <w:rsid w:val="00412CB2"/>
    <w:rsid w:val="004211BB"/>
    <w:rsid w:val="00433746"/>
    <w:rsid w:val="00434183"/>
    <w:rsid w:val="00434C88"/>
    <w:rsid w:val="00435E69"/>
    <w:rsid w:val="00440549"/>
    <w:rsid w:val="00445BDF"/>
    <w:rsid w:val="00454A95"/>
    <w:rsid w:val="00490F50"/>
    <w:rsid w:val="00496242"/>
    <w:rsid w:val="004A4555"/>
    <w:rsid w:val="004A555E"/>
    <w:rsid w:val="004B541F"/>
    <w:rsid w:val="004C4912"/>
    <w:rsid w:val="004C69C7"/>
    <w:rsid w:val="004E7007"/>
    <w:rsid w:val="004F6162"/>
    <w:rsid w:val="00500465"/>
    <w:rsid w:val="00507409"/>
    <w:rsid w:val="00520EAC"/>
    <w:rsid w:val="00524DA5"/>
    <w:rsid w:val="00526DBD"/>
    <w:rsid w:val="00532E3C"/>
    <w:rsid w:val="00544812"/>
    <w:rsid w:val="00551A62"/>
    <w:rsid w:val="00553ADE"/>
    <w:rsid w:val="0056120D"/>
    <w:rsid w:val="00563133"/>
    <w:rsid w:val="0057025E"/>
    <w:rsid w:val="00582CCB"/>
    <w:rsid w:val="00584D73"/>
    <w:rsid w:val="0059329D"/>
    <w:rsid w:val="005A2510"/>
    <w:rsid w:val="005C094E"/>
    <w:rsid w:val="005C6AC3"/>
    <w:rsid w:val="005C73EE"/>
    <w:rsid w:val="005D11C8"/>
    <w:rsid w:val="005E2798"/>
    <w:rsid w:val="005E3893"/>
    <w:rsid w:val="005F3375"/>
    <w:rsid w:val="00600164"/>
    <w:rsid w:val="00605683"/>
    <w:rsid w:val="00617BEF"/>
    <w:rsid w:val="006248F2"/>
    <w:rsid w:val="0064002B"/>
    <w:rsid w:val="00645087"/>
    <w:rsid w:val="00654ACD"/>
    <w:rsid w:val="006610D4"/>
    <w:rsid w:val="00682003"/>
    <w:rsid w:val="0068323A"/>
    <w:rsid w:val="00684B16"/>
    <w:rsid w:val="00695C24"/>
    <w:rsid w:val="00696D43"/>
    <w:rsid w:val="006F5316"/>
    <w:rsid w:val="006F6F2E"/>
    <w:rsid w:val="00724F08"/>
    <w:rsid w:val="007378E2"/>
    <w:rsid w:val="00740C5A"/>
    <w:rsid w:val="00742A15"/>
    <w:rsid w:val="0074384E"/>
    <w:rsid w:val="00764503"/>
    <w:rsid w:val="00772403"/>
    <w:rsid w:val="0077694E"/>
    <w:rsid w:val="0079300E"/>
    <w:rsid w:val="007A2D13"/>
    <w:rsid w:val="007A31C8"/>
    <w:rsid w:val="007A7D99"/>
    <w:rsid w:val="007D3257"/>
    <w:rsid w:val="007F1C1D"/>
    <w:rsid w:val="007F7D80"/>
    <w:rsid w:val="00816C8D"/>
    <w:rsid w:val="00836BC2"/>
    <w:rsid w:val="008420C5"/>
    <w:rsid w:val="00861757"/>
    <w:rsid w:val="008746A1"/>
    <w:rsid w:val="00877AD0"/>
    <w:rsid w:val="00884D2F"/>
    <w:rsid w:val="00891412"/>
    <w:rsid w:val="008A3DA9"/>
    <w:rsid w:val="008B08C9"/>
    <w:rsid w:val="008B1FF6"/>
    <w:rsid w:val="008B3E4C"/>
    <w:rsid w:val="008C54A1"/>
    <w:rsid w:val="008D186C"/>
    <w:rsid w:val="008D74AF"/>
    <w:rsid w:val="008E56F0"/>
    <w:rsid w:val="008F49E3"/>
    <w:rsid w:val="009039FE"/>
    <w:rsid w:val="00922B2E"/>
    <w:rsid w:val="009248E0"/>
    <w:rsid w:val="00927BD1"/>
    <w:rsid w:val="0093549A"/>
    <w:rsid w:val="00946B60"/>
    <w:rsid w:val="00950355"/>
    <w:rsid w:val="009512E0"/>
    <w:rsid w:val="00954BF1"/>
    <w:rsid w:val="0095607C"/>
    <w:rsid w:val="00964C11"/>
    <w:rsid w:val="00974836"/>
    <w:rsid w:val="009943E1"/>
    <w:rsid w:val="00996024"/>
    <w:rsid w:val="009B22ED"/>
    <w:rsid w:val="009B2C0B"/>
    <w:rsid w:val="009C0313"/>
    <w:rsid w:val="009D07E2"/>
    <w:rsid w:val="009D338D"/>
    <w:rsid w:val="009D49BE"/>
    <w:rsid w:val="009D6B09"/>
    <w:rsid w:val="009E0861"/>
    <w:rsid w:val="009E41F7"/>
    <w:rsid w:val="009F5296"/>
    <w:rsid w:val="00A364BA"/>
    <w:rsid w:val="00A5061A"/>
    <w:rsid w:val="00A67498"/>
    <w:rsid w:val="00A71586"/>
    <w:rsid w:val="00A742D1"/>
    <w:rsid w:val="00A7638F"/>
    <w:rsid w:val="00A87924"/>
    <w:rsid w:val="00A96933"/>
    <w:rsid w:val="00AA090B"/>
    <w:rsid w:val="00AD25D5"/>
    <w:rsid w:val="00AD7B4D"/>
    <w:rsid w:val="00AF3B6B"/>
    <w:rsid w:val="00B027EB"/>
    <w:rsid w:val="00B263C5"/>
    <w:rsid w:val="00B36038"/>
    <w:rsid w:val="00B45248"/>
    <w:rsid w:val="00B67355"/>
    <w:rsid w:val="00B72F91"/>
    <w:rsid w:val="00B7393F"/>
    <w:rsid w:val="00B761B1"/>
    <w:rsid w:val="00B80934"/>
    <w:rsid w:val="00B96615"/>
    <w:rsid w:val="00BB6EE3"/>
    <w:rsid w:val="00BC4882"/>
    <w:rsid w:val="00BC55D2"/>
    <w:rsid w:val="00BD4705"/>
    <w:rsid w:val="00BD5DBE"/>
    <w:rsid w:val="00BE24E6"/>
    <w:rsid w:val="00C12E18"/>
    <w:rsid w:val="00C3008C"/>
    <w:rsid w:val="00C30FD6"/>
    <w:rsid w:val="00C31FEE"/>
    <w:rsid w:val="00C55FFC"/>
    <w:rsid w:val="00C62203"/>
    <w:rsid w:val="00C75CE0"/>
    <w:rsid w:val="00CA7627"/>
    <w:rsid w:val="00CB012B"/>
    <w:rsid w:val="00CB2691"/>
    <w:rsid w:val="00CB4E48"/>
    <w:rsid w:val="00CC68E1"/>
    <w:rsid w:val="00CD4339"/>
    <w:rsid w:val="00CE41AE"/>
    <w:rsid w:val="00CE50F9"/>
    <w:rsid w:val="00D05740"/>
    <w:rsid w:val="00D05EB2"/>
    <w:rsid w:val="00D13875"/>
    <w:rsid w:val="00D15D07"/>
    <w:rsid w:val="00D160F2"/>
    <w:rsid w:val="00D168B1"/>
    <w:rsid w:val="00D357E1"/>
    <w:rsid w:val="00D37352"/>
    <w:rsid w:val="00D37CDC"/>
    <w:rsid w:val="00D40D7C"/>
    <w:rsid w:val="00D45BDF"/>
    <w:rsid w:val="00D51426"/>
    <w:rsid w:val="00D55429"/>
    <w:rsid w:val="00D65D0C"/>
    <w:rsid w:val="00D666D4"/>
    <w:rsid w:val="00D71D0E"/>
    <w:rsid w:val="00D7239D"/>
    <w:rsid w:val="00D75FAE"/>
    <w:rsid w:val="00D77F63"/>
    <w:rsid w:val="00D9114A"/>
    <w:rsid w:val="00DA11C0"/>
    <w:rsid w:val="00DA4E09"/>
    <w:rsid w:val="00DD2C43"/>
    <w:rsid w:val="00DE36B6"/>
    <w:rsid w:val="00DF6CA0"/>
    <w:rsid w:val="00E0466E"/>
    <w:rsid w:val="00E0621F"/>
    <w:rsid w:val="00E12F79"/>
    <w:rsid w:val="00E145E1"/>
    <w:rsid w:val="00E26123"/>
    <w:rsid w:val="00E3274B"/>
    <w:rsid w:val="00E34559"/>
    <w:rsid w:val="00E41481"/>
    <w:rsid w:val="00E416F8"/>
    <w:rsid w:val="00E45431"/>
    <w:rsid w:val="00E50043"/>
    <w:rsid w:val="00E56D91"/>
    <w:rsid w:val="00E60921"/>
    <w:rsid w:val="00E656C1"/>
    <w:rsid w:val="00E80098"/>
    <w:rsid w:val="00E82F77"/>
    <w:rsid w:val="00E83683"/>
    <w:rsid w:val="00EA7E26"/>
    <w:rsid w:val="00EB1F57"/>
    <w:rsid w:val="00EB7128"/>
    <w:rsid w:val="00EE29F6"/>
    <w:rsid w:val="00F14384"/>
    <w:rsid w:val="00F2192C"/>
    <w:rsid w:val="00F241BE"/>
    <w:rsid w:val="00F41AAF"/>
    <w:rsid w:val="00F46CF6"/>
    <w:rsid w:val="00F84415"/>
    <w:rsid w:val="00FA6761"/>
    <w:rsid w:val="00FB3044"/>
    <w:rsid w:val="00FC1D9D"/>
    <w:rsid w:val="00FC3F4F"/>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E583C"/>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 w:type="character" w:styleId="Hipervnculovisitado">
    <w:name w:val="FollowedHyperlink"/>
    <w:basedOn w:val="Fuentedeprrafopredeter"/>
    <w:uiPriority w:val="99"/>
    <w:semiHidden/>
    <w:unhideWhenUsed/>
    <w:rsid w:val="00DD2C43"/>
    <w:rPr>
      <w:color w:val="954F72" w:themeColor="followedHyperlink"/>
      <w:u w:val="single"/>
    </w:rPr>
  </w:style>
  <w:style w:type="character" w:customStyle="1" w:styleId="UnresolvedMention">
    <w:name w:val="Unresolved Mention"/>
    <w:basedOn w:val="Fuentedeprrafopredeter"/>
    <w:uiPriority w:val="99"/>
    <w:semiHidden/>
    <w:unhideWhenUsed/>
    <w:rsid w:val="003C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c.org.mx/2018/11/16/formato-de-declaraciones-de-situacion-patrimonial-y-de-inter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F3289-FBF3-4AF2-BAF0-5027D0C1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4603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2019-01-28T21:08:00Z</dcterms:created>
  <dcterms:modified xsi:type="dcterms:W3CDTF">2019-01-28T21:12:00Z</dcterms:modified>
</cp:coreProperties>
</file>